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5B7" w:rsidRDefault="000455B7" w:rsidP="000455B7">
      <w:pPr>
        <w:spacing w:line="560" w:lineRule="exact"/>
        <w:rPr>
          <w:rFonts w:ascii="黑体" w:eastAsia="黑体" w:hAnsi="黑体"/>
          <w:sz w:val="32"/>
          <w:szCs w:val="32"/>
        </w:rPr>
      </w:pPr>
      <w:r w:rsidRPr="0017509B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0455B7" w:rsidRDefault="000455B7" w:rsidP="000455B7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0455B7" w:rsidRPr="0017509B" w:rsidRDefault="000455B7" w:rsidP="000455B7">
      <w:pPr>
        <w:spacing w:line="500" w:lineRule="exact"/>
        <w:jc w:val="center"/>
        <w:rPr>
          <w:rFonts w:ascii="方正小标宋简体" w:eastAsia="方正小标宋简体"/>
          <w:sz w:val="44"/>
          <w:szCs w:val="32"/>
        </w:rPr>
      </w:pPr>
      <w:r w:rsidRPr="0017509B">
        <w:rPr>
          <w:rFonts w:ascii="方正小标宋简体" w:eastAsia="方正小标宋简体" w:hint="eastAsia"/>
          <w:sz w:val="44"/>
          <w:szCs w:val="32"/>
        </w:rPr>
        <w:t>复方酮康唑软膏说明书修订要求</w:t>
      </w:r>
    </w:p>
    <w:p w:rsidR="000455B7" w:rsidRDefault="000455B7" w:rsidP="000455B7">
      <w:pPr>
        <w:spacing w:line="500" w:lineRule="exact"/>
        <w:rPr>
          <w:rFonts w:eastAsia="仿宋_GB2312"/>
          <w:sz w:val="32"/>
          <w:szCs w:val="32"/>
        </w:rPr>
      </w:pPr>
    </w:p>
    <w:p w:rsidR="000455B7" w:rsidRPr="007C2335" w:rsidRDefault="000455B7" w:rsidP="000455B7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C2335">
        <w:rPr>
          <w:rFonts w:ascii="黑体" w:eastAsia="黑体" w:hAnsi="黑体"/>
          <w:sz w:val="32"/>
          <w:szCs w:val="32"/>
        </w:rPr>
        <w:t>一、【不良反应】项应包含：</w:t>
      </w:r>
    </w:p>
    <w:p w:rsidR="000455B7" w:rsidRPr="007C2335" w:rsidRDefault="000455B7" w:rsidP="000455B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1.</w:t>
      </w:r>
      <w:r w:rsidRPr="007C2335">
        <w:rPr>
          <w:rFonts w:eastAsia="仿宋_GB2312"/>
          <w:sz w:val="32"/>
          <w:szCs w:val="32"/>
        </w:rPr>
        <w:t>常见红斑、灼热、瘙痒、刺痛或其他刺激症状，毛囊炎、皮肤萎缩变薄，毛细血管扩张、色素沉着以及继发感染等。</w:t>
      </w:r>
    </w:p>
    <w:p w:rsidR="000455B7" w:rsidRPr="007C2335" w:rsidRDefault="000455B7" w:rsidP="000455B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2.</w:t>
      </w:r>
      <w:r w:rsidRPr="007C2335">
        <w:rPr>
          <w:rFonts w:eastAsia="仿宋_GB2312"/>
          <w:sz w:val="32"/>
          <w:szCs w:val="32"/>
        </w:rPr>
        <w:t>可见皮肤干燥、多毛、萎缩纹、对感染的易感性增加等。</w:t>
      </w:r>
    </w:p>
    <w:p w:rsidR="000455B7" w:rsidRPr="007C2335" w:rsidRDefault="000455B7" w:rsidP="000455B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3.</w:t>
      </w:r>
      <w:r w:rsidRPr="007C2335">
        <w:rPr>
          <w:rFonts w:eastAsia="仿宋_GB2312"/>
          <w:sz w:val="32"/>
          <w:szCs w:val="32"/>
        </w:rPr>
        <w:t>长期用药可能引起皮质功能亢进症，表现为多毛、痤疮、满月脸、骨质疏松等症状。</w:t>
      </w:r>
    </w:p>
    <w:p w:rsidR="000455B7" w:rsidRPr="007C2335" w:rsidRDefault="000455B7" w:rsidP="000455B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4.</w:t>
      </w:r>
      <w:r w:rsidRPr="007C2335">
        <w:rPr>
          <w:rFonts w:eastAsia="仿宋_GB2312"/>
          <w:sz w:val="32"/>
          <w:szCs w:val="32"/>
        </w:rPr>
        <w:t>偶可引起变态反应性皮炎。</w:t>
      </w:r>
    </w:p>
    <w:p w:rsidR="000455B7" w:rsidRPr="007C2335" w:rsidRDefault="000455B7" w:rsidP="000455B7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C2335">
        <w:rPr>
          <w:rFonts w:ascii="黑体" w:eastAsia="黑体" w:hAnsi="黑体"/>
          <w:sz w:val="32"/>
          <w:szCs w:val="32"/>
        </w:rPr>
        <w:t>二、【禁忌】项应包含：</w:t>
      </w:r>
    </w:p>
    <w:p w:rsidR="000455B7" w:rsidRPr="007C2335" w:rsidRDefault="000455B7" w:rsidP="000455B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1.</w:t>
      </w:r>
      <w:r w:rsidRPr="007C2335">
        <w:rPr>
          <w:rFonts w:eastAsia="仿宋_GB2312"/>
          <w:sz w:val="32"/>
          <w:szCs w:val="32"/>
        </w:rPr>
        <w:t>对本品过敏者禁用。</w:t>
      </w:r>
    </w:p>
    <w:p w:rsidR="000455B7" w:rsidRPr="007C2335" w:rsidRDefault="000455B7" w:rsidP="000455B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2.</w:t>
      </w:r>
      <w:r w:rsidRPr="007C2335">
        <w:rPr>
          <w:rFonts w:eastAsia="仿宋_GB2312"/>
          <w:sz w:val="32"/>
          <w:szCs w:val="32"/>
        </w:rPr>
        <w:t>病毒性感染如疱疹、水痘等禁用。</w:t>
      </w:r>
    </w:p>
    <w:p w:rsidR="000455B7" w:rsidRPr="007C2335" w:rsidRDefault="000455B7" w:rsidP="000455B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3.</w:t>
      </w:r>
      <w:r w:rsidRPr="007C2335">
        <w:rPr>
          <w:rFonts w:eastAsia="仿宋_GB2312"/>
          <w:sz w:val="32"/>
          <w:szCs w:val="32"/>
        </w:rPr>
        <w:t>小儿、孕妇及哺乳期妇女禁用。</w:t>
      </w:r>
    </w:p>
    <w:p w:rsidR="000455B7" w:rsidRPr="007C2335" w:rsidRDefault="000455B7" w:rsidP="000455B7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C2335">
        <w:rPr>
          <w:rFonts w:ascii="黑体" w:eastAsia="黑体" w:hAnsi="黑体"/>
          <w:sz w:val="32"/>
          <w:szCs w:val="32"/>
        </w:rPr>
        <w:t>三、【注意事项】项应包含：</w:t>
      </w:r>
    </w:p>
    <w:p w:rsidR="000455B7" w:rsidRPr="007C2335" w:rsidRDefault="000455B7" w:rsidP="000455B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1.</w:t>
      </w:r>
      <w:r w:rsidRPr="007C2335">
        <w:rPr>
          <w:rFonts w:eastAsia="仿宋_GB2312"/>
          <w:sz w:val="32"/>
          <w:szCs w:val="32"/>
        </w:rPr>
        <w:t>避免接触眼睛和其他黏膜（如口、鼻等）；不宜用于面部、腋下、腹股沟及外阴等皮肤细薄处。</w:t>
      </w:r>
    </w:p>
    <w:p w:rsidR="000455B7" w:rsidRPr="007C2335" w:rsidRDefault="000455B7" w:rsidP="000455B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2.</w:t>
      </w:r>
      <w:r w:rsidRPr="007C2335">
        <w:rPr>
          <w:rFonts w:eastAsia="仿宋_GB2312"/>
          <w:sz w:val="32"/>
          <w:szCs w:val="32"/>
        </w:rPr>
        <w:t>过敏体质者慎用。</w:t>
      </w:r>
    </w:p>
    <w:p w:rsidR="000455B7" w:rsidRPr="007C2335" w:rsidRDefault="000455B7" w:rsidP="000455B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3.</w:t>
      </w:r>
      <w:r w:rsidRPr="007C2335">
        <w:rPr>
          <w:rFonts w:eastAsia="仿宋_GB2312"/>
          <w:sz w:val="32"/>
          <w:szCs w:val="32"/>
        </w:rPr>
        <w:t>股癣患者，勿穿紧贴内裤或化纤内裤，宜穿棉织宽松内裤。</w:t>
      </w:r>
    </w:p>
    <w:p w:rsidR="000455B7" w:rsidRPr="007C2335" w:rsidRDefault="000455B7" w:rsidP="000455B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4.</w:t>
      </w:r>
      <w:r w:rsidRPr="007C2335">
        <w:rPr>
          <w:rFonts w:eastAsia="仿宋_GB2312"/>
          <w:sz w:val="32"/>
          <w:szCs w:val="32"/>
        </w:rPr>
        <w:t>足癣患者，浴后将皮肤擦干（特别趾间皮肤）。宜穿棉纱袜，每天更换。鞋应透气。</w:t>
      </w:r>
    </w:p>
    <w:p w:rsidR="000455B7" w:rsidRPr="007C2335" w:rsidRDefault="000455B7" w:rsidP="000455B7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5.</w:t>
      </w:r>
      <w:r w:rsidRPr="007C2335">
        <w:rPr>
          <w:rFonts w:eastAsia="仿宋_GB2312"/>
          <w:sz w:val="32"/>
          <w:szCs w:val="32"/>
        </w:rPr>
        <w:t>用药部位如有烧灼感、红肿等情况应停药，并将局部药物洗净，严重者应及时就医。</w:t>
      </w:r>
    </w:p>
    <w:p w:rsidR="009F78D0" w:rsidRPr="003F322C" w:rsidRDefault="000455B7" w:rsidP="003F322C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 w:rsidRPr="007C2335">
        <w:rPr>
          <w:rFonts w:eastAsia="仿宋_GB2312"/>
          <w:sz w:val="32"/>
          <w:szCs w:val="32"/>
        </w:rPr>
        <w:t>6.</w:t>
      </w:r>
      <w:r w:rsidRPr="007C2335">
        <w:rPr>
          <w:rFonts w:eastAsia="仿宋_GB2312"/>
          <w:sz w:val="32"/>
          <w:szCs w:val="32"/>
        </w:rPr>
        <w:t>本品含强效皮质类固醇丙酸氯倍他索，不能长期、大面积应用，亦不宜采用封包治疗。</w:t>
      </w:r>
    </w:p>
    <w:sectPr w:rsidR="009F78D0" w:rsidRPr="003F322C" w:rsidSect="000455B7">
      <w:footerReference w:type="even" r:id="rId6"/>
      <w:footerReference w:type="default" r:id="rId7"/>
      <w:pgSz w:w="11906" w:h="16838"/>
      <w:pgMar w:top="1928" w:right="1531" w:bottom="1814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5A2" w:rsidRDefault="001225A2" w:rsidP="000455B7">
      <w:r>
        <w:separator/>
      </w:r>
    </w:p>
  </w:endnote>
  <w:endnote w:type="continuationSeparator" w:id="1">
    <w:p w:rsidR="001225A2" w:rsidRDefault="001225A2" w:rsidP="000455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DCB" w:rsidRPr="007C2335" w:rsidRDefault="00BC088C">
    <w:pPr>
      <w:pStyle w:val="a4"/>
      <w:rPr>
        <w:sz w:val="28"/>
        <w:szCs w:val="28"/>
      </w:rPr>
    </w:pPr>
    <w:r w:rsidRPr="007C2335">
      <w:rPr>
        <w:rFonts w:hint="eastAsia"/>
        <w:color w:val="FFFFFF"/>
        <w:sz w:val="28"/>
        <w:szCs w:val="28"/>
      </w:rPr>
      <w:t>—</w:t>
    </w:r>
    <w:r w:rsidRPr="007C2335">
      <w:rPr>
        <w:rFonts w:hint="eastAsia"/>
        <w:sz w:val="28"/>
        <w:szCs w:val="28"/>
      </w:rPr>
      <w:t>—</w:t>
    </w:r>
    <w:r w:rsidR="009E40E7" w:rsidRPr="007C2335">
      <w:rPr>
        <w:sz w:val="28"/>
        <w:szCs w:val="28"/>
      </w:rPr>
      <w:fldChar w:fldCharType="begin"/>
    </w:r>
    <w:r w:rsidRPr="007C2335">
      <w:rPr>
        <w:sz w:val="28"/>
        <w:szCs w:val="28"/>
      </w:rPr>
      <w:instrText>PAGE   \* MERGEFORMAT</w:instrText>
    </w:r>
    <w:r w:rsidR="009E40E7" w:rsidRPr="007C2335">
      <w:rPr>
        <w:sz w:val="28"/>
        <w:szCs w:val="28"/>
      </w:rPr>
      <w:fldChar w:fldCharType="separate"/>
    </w:r>
    <w:r w:rsidRPr="00141BE2">
      <w:rPr>
        <w:noProof/>
        <w:sz w:val="28"/>
        <w:szCs w:val="28"/>
        <w:lang w:val="zh-CN"/>
      </w:rPr>
      <w:t>4</w:t>
    </w:r>
    <w:r w:rsidR="009E40E7" w:rsidRPr="007C2335">
      <w:rPr>
        <w:sz w:val="28"/>
        <w:szCs w:val="28"/>
      </w:rPr>
      <w:fldChar w:fldCharType="end"/>
    </w:r>
    <w:r w:rsidRPr="007C2335">
      <w:rPr>
        <w:rFonts w:hint="eastAsia"/>
        <w:sz w:val="28"/>
        <w:szCs w:val="28"/>
      </w:rPr>
      <w:t>—</w:t>
    </w:r>
  </w:p>
  <w:p w:rsidR="00E21DCB" w:rsidRDefault="001225A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DCB" w:rsidRPr="007C2335" w:rsidRDefault="00BC088C" w:rsidP="007C2335">
    <w:pPr>
      <w:pStyle w:val="a4"/>
      <w:wordWrap w:val="0"/>
      <w:jc w:val="right"/>
      <w:rPr>
        <w:sz w:val="28"/>
        <w:szCs w:val="28"/>
      </w:rPr>
    </w:pPr>
    <w:r w:rsidRPr="007C2335">
      <w:rPr>
        <w:rFonts w:hint="eastAsia"/>
        <w:sz w:val="28"/>
        <w:szCs w:val="28"/>
      </w:rPr>
      <w:t>—</w:t>
    </w:r>
    <w:r w:rsidR="009E40E7" w:rsidRPr="007C2335">
      <w:rPr>
        <w:sz w:val="28"/>
        <w:szCs w:val="28"/>
      </w:rPr>
      <w:fldChar w:fldCharType="begin"/>
    </w:r>
    <w:r w:rsidRPr="007C2335">
      <w:rPr>
        <w:sz w:val="28"/>
        <w:szCs w:val="28"/>
      </w:rPr>
      <w:instrText>PAGE   \* MERGEFORMAT</w:instrText>
    </w:r>
    <w:r w:rsidR="009E40E7" w:rsidRPr="007C2335">
      <w:rPr>
        <w:sz w:val="28"/>
        <w:szCs w:val="28"/>
      </w:rPr>
      <w:fldChar w:fldCharType="separate"/>
    </w:r>
    <w:r w:rsidR="003F322C" w:rsidRPr="003F322C">
      <w:rPr>
        <w:noProof/>
        <w:sz w:val="28"/>
        <w:szCs w:val="28"/>
        <w:lang w:val="zh-CN"/>
      </w:rPr>
      <w:t>1</w:t>
    </w:r>
    <w:r w:rsidR="009E40E7" w:rsidRPr="007C2335">
      <w:rPr>
        <w:sz w:val="28"/>
        <w:szCs w:val="28"/>
      </w:rPr>
      <w:fldChar w:fldCharType="end"/>
    </w:r>
    <w:r w:rsidRPr="007C2335">
      <w:rPr>
        <w:rFonts w:hint="eastAsia"/>
        <w:sz w:val="28"/>
        <w:szCs w:val="28"/>
      </w:rPr>
      <w:t>—</w:t>
    </w:r>
    <w:r w:rsidRPr="007C2335">
      <w:rPr>
        <w:rFonts w:hint="eastAsia"/>
        <w:color w:val="FFFFFF"/>
        <w:sz w:val="28"/>
        <w:szCs w:val="28"/>
      </w:rPr>
      <w:t>—</w:t>
    </w:r>
  </w:p>
  <w:p w:rsidR="00D83B74" w:rsidRDefault="001225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5A2" w:rsidRDefault="001225A2" w:rsidP="000455B7">
      <w:r>
        <w:separator/>
      </w:r>
    </w:p>
  </w:footnote>
  <w:footnote w:type="continuationSeparator" w:id="1">
    <w:p w:rsidR="001225A2" w:rsidRDefault="001225A2" w:rsidP="000455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1A3"/>
    <w:rsid w:val="000455B7"/>
    <w:rsid w:val="001225A2"/>
    <w:rsid w:val="003F322C"/>
    <w:rsid w:val="005961A3"/>
    <w:rsid w:val="009E40E7"/>
    <w:rsid w:val="009F78D0"/>
    <w:rsid w:val="00BC088C"/>
    <w:rsid w:val="00D54EE8"/>
    <w:rsid w:val="00FC7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5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5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5B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455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55B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55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55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55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55B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455B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455B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CFDA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王兴龙</dc:creator>
  <cp:lastModifiedBy>wxl</cp:lastModifiedBy>
  <cp:revision>2</cp:revision>
  <dcterms:created xsi:type="dcterms:W3CDTF">2017-09-08T07:38:00Z</dcterms:created>
  <dcterms:modified xsi:type="dcterms:W3CDTF">2017-09-08T07:38:00Z</dcterms:modified>
</cp:coreProperties>
</file>