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5A" w:rsidRPr="008E0A47" w:rsidRDefault="0053605A" w:rsidP="0053605A">
      <w:pPr>
        <w:pStyle w:val="a5"/>
        <w:adjustRightInd w:val="0"/>
        <w:snapToGrid w:val="0"/>
        <w:spacing w:line="600" w:lineRule="exact"/>
        <w:rPr>
          <w:rFonts w:ascii="黑体" w:eastAsia="黑体" w:hAnsi="黑体"/>
          <w:color w:val="000000"/>
          <w:kern w:val="0"/>
          <w:sz w:val="32"/>
          <w:szCs w:val="32"/>
        </w:rPr>
      </w:pPr>
      <w:bookmarkStart w:id="0" w:name="zhengwen"/>
      <w:r w:rsidRPr="008E0A47">
        <w:rPr>
          <w:rFonts w:ascii="黑体" w:eastAsia="黑体" w:hAnsi="黑体" w:hint="eastAsia"/>
          <w:color w:val="000000"/>
          <w:kern w:val="0"/>
          <w:sz w:val="32"/>
          <w:szCs w:val="32"/>
        </w:rPr>
        <w:t>附件</w:t>
      </w:r>
    </w:p>
    <w:p w:rsidR="0053605A" w:rsidRPr="00862F09" w:rsidRDefault="0053605A" w:rsidP="0053605A">
      <w:pPr>
        <w:pStyle w:val="a5"/>
        <w:adjustRightInd w:val="0"/>
        <w:snapToGrid w:val="0"/>
        <w:spacing w:line="600" w:lineRule="exact"/>
        <w:jc w:val="center"/>
        <w:rPr>
          <w:rFonts w:eastAsia="方正小标宋简体"/>
          <w:color w:val="000000"/>
          <w:kern w:val="0"/>
          <w:sz w:val="44"/>
          <w:szCs w:val="44"/>
        </w:rPr>
      </w:pPr>
    </w:p>
    <w:p w:rsidR="0053605A" w:rsidRPr="00862F09" w:rsidRDefault="0053605A" w:rsidP="0053605A">
      <w:pPr>
        <w:pStyle w:val="a5"/>
        <w:adjustRightInd w:val="0"/>
        <w:snapToGrid w:val="0"/>
        <w:spacing w:line="600" w:lineRule="exact"/>
        <w:jc w:val="center"/>
        <w:rPr>
          <w:rFonts w:eastAsia="方正小标宋简体"/>
          <w:color w:val="000000"/>
          <w:kern w:val="0"/>
          <w:sz w:val="44"/>
          <w:szCs w:val="44"/>
        </w:rPr>
      </w:pPr>
      <w:r w:rsidRPr="00862F09">
        <w:rPr>
          <w:rFonts w:eastAsia="方正小标宋简体"/>
          <w:color w:val="000000"/>
          <w:kern w:val="0"/>
          <w:sz w:val="44"/>
          <w:szCs w:val="44"/>
        </w:rPr>
        <w:t>特殊食品验证评价技术机构工作规范</w:t>
      </w:r>
    </w:p>
    <w:p w:rsidR="0053605A" w:rsidRPr="00862F09" w:rsidRDefault="0053605A" w:rsidP="0053605A">
      <w:pPr>
        <w:widowControl/>
        <w:adjustRightInd w:val="0"/>
        <w:snapToGrid w:val="0"/>
        <w:spacing w:line="600" w:lineRule="exact"/>
        <w:jc w:val="center"/>
        <w:rPr>
          <w:rFonts w:eastAsia="仿宋"/>
          <w:b/>
          <w:color w:val="000000"/>
          <w:kern w:val="0"/>
          <w:sz w:val="32"/>
          <w:szCs w:val="32"/>
        </w:rPr>
      </w:pPr>
    </w:p>
    <w:p w:rsidR="0053605A" w:rsidRPr="00722460" w:rsidRDefault="0053605A" w:rsidP="0053605A">
      <w:pPr>
        <w:widowControl/>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 xml:space="preserve">第一条 </w:t>
      </w:r>
      <w:r w:rsidRPr="00722460">
        <w:rPr>
          <w:rFonts w:eastAsia="仿宋_GB2312"/>
          <w:kern w:val="0"/>
          <w:sz w:val="32"/>
          <w:szCs w:val="32"/>
        </w:rPr>
        <w:t>为规范特殊食品验证评价技术机构工作，根据《中华人民共和国食品安全法》等有关法律、法规和规章，制定本规范。</w:t>
      </w:r>
    </w:p>
    <w:p w:rsidR="0053605A" w:rsidRPr="00722460" w:rsidRDefault="0053605A" w:rsidP="0053605A">
      <w:pPr>
        <w:tabs>
          <w:tab w:val="num" w:pos="3088"/>
        </w:tabs>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第二条</w:t>
      </w:r>
      <w:r w:rsidRPr="00722460">
        <w:rPr>
          <w:rFonts w:eastAsia="仿宋_GB2312"/>
          <w:kern w:val="0"/>
          <w:sz w:val="32"/>
          <w:szCs w:val="32"/>
        </w:rPr>
        <w:t>本规范适用于中华人民共和国境内开展特殊食品注册或备案有关的产品检验、安全与功能验证和临床试验等验证评价工作的机构（以下简称技术机构）。</w:t>
      </w:r>
    </w:p>
    <w:p w:rsidR="0053605A" w:rsidRPr="00722460" w:rsidRDefault="0053605A" w:rsidP="0053605A">
      <w:pPr>
        <w:widowControl/>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第三条</w:t>
      </w:r>
      <w:hyperlink r:id="rId6" w:tgtFrame="_blank" w:history="1">
        <w:r w:rsidRPr="00722460">
          <w:rPr>
            <w:rFonts w:eastAsia="仿宋_GB2312"/>
            <w:kern w:val="0"/>
            <w:sz w:val="32"/>
            <w:szCs w:val="32"/>
          </w:rPr>
          <w:t>国家食品药品监督管理总局</w:t>
        </w:r>
      </w:hyperlink>
      <w:r w:rsidRPr="00722460">
        <w:rPr>
          <w:rFonts w:eastAsia="仿宋_GB2312"/>
          <w:kern w:val="0"/>
          <w:sz w:val="32"/>
          <w:szCs w:val="32"/>
        </w:rPr>
        <w:t>组织建立特殊食品验证评价技术机构备案信息系统（以下简称备案信息系统），用于技术机构备案。</w:t>
      </w:r>
    </w:p>
    <w:p w:rsidR="0053605A" w:rsidRPr="00722460" w:rsidRDefault="0053605A" w:rsidP="0053605A">
      <w:pPr>
        <w:tabs>
          <w:tab w:val="num" w:pos="3088"/>
        </w:tabs>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 xml:space="preserve">第四条 </w:t>
      </w:r>
      <w:r w:rsidRPr="00722460">
        <w:rPr>
          <w:rFonts w:eastAsia="仿宋_GB2312"/>
          <w:kern w:val="0"/>
          <w:sz w:val="32"/>
          <w:szCs w:val="32"/>
        </w:rPr>
        <w:t>技术机构备案信息如下：</w:t>
      </w:r>
    </w:p>
    <w:p w:rsidR="0053605A" w:rsidRPr="00722460" w:rsidRDefault="0053605A" w:rsidP="0053605A">
      <w:pPr>
        <w:widowControl/>
        <w:tabs>
          <w:tab w:val="left" w:pos="567"/>
        </w:tabs>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（一）名称、性质、级别、地址、联系方式、规模概况和法人资质证明文件；</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（二）已经具备的验证评价工作相关法定资质或条件；</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（三）依资质或条件可以开展的验证评价工作项目；</w:t>
      </w:r>
    </w:p>
    <w:p w:rsidR="0053605A" w:rsidRPr="00722460" w:rsidRDefault="0053605A" w:rsidP="0053605A">
      <w:pPr>
        <w:widowControl/>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（四）质量管理体系建立运行情况；</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（五）验证评价工作团队概况；</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（六）主要仪器设备、设施清单和环境条件说明；</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lastRenderedPageBreak/>
        <w:t>（七）既往开展验证评价工作情况；</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（八）近三年无违法违规行为和无重大业务事故说明；</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（九）</w:t>
      </w:r>
      <w:r w:rsidRPr="00722460">
        <w:rPr>
          <w:rFonts w:eastAsia="仿宋_GB2312"/>
          <w:spacing w:val="2"/>
          <w:kern w:val="0"/>
          <w:sz w:val="32"/>
          <w:szCs w:val="32"/>
        </w:rPr>
        <w:t>防范和处理验证评价工作中突发事件和严重不良事件的应急处置情况；</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（十）其他需要说明的情况。</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技术机构对备案信息的真实性、准确性承担法律责任。</w:t>
      </w:r>
    </w:p>
    <w:p w:rsidR="0053605A" w:rsidRPr="00722460" w:rsidRDefault="0053605A" w:rsidP="0053605A">
      <w:pPr>
        <w:tabs>
          <w:tab w:val="num" w:pos="3088"/>
        </w:tabs>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第五条</w:t>
      </w:r>
      <w:r w:rsidRPr="00722460">
        <w:rPr>
          <w:rFonts w:eastAsia="仿宋_GB2312"/>
          <w:sz w:val="32"/>
          <w:szCs w:val="32"/>
        </w:rPr>
        <w:t>技术机构按照备案信息系统要求完成信息填写后，系统将自动生成序列号。</w:t>
      </w:r>
    </w:p>
    <w:p w:rsidR="0053605A" w:rsidRPr="00722460" w:rsidRDefault="0053605A" w:rsidP="0053605A">
      <w:pPr>
        <w:tabs>
          <w:tab w:val="num" w:pos="3088"/>
        </w:tabs>
        <w:adjustRightInd w:val="0"/>
        <w:snapToGrid w:val="0"/>
        <w:spacing w:line="620" w:lineRule="exact"/>
        <w:ind w:firstLineChars="200" w:firstLine="640"/>
        <w:rPr>
          <w:rFonts w:eastAsia="仿宋_GB2312"/>
          <w:sz w:val="32"/>
          <w:szCs w:val="32"/>
        </w:rPr>
      </w:pPr>
      <w:r w:rsidRPr="00722460">
        <w:rPr>
          <w:rFonts w:eastAsia="仿宋_GB2312"/>
          <w:sz w:val="32"/>
          <w:szCs w:val="32"/>
        </w:rPr>
        <w:t>技术机构应当根据本单位实际情况及时在备案信息系统中更新信息。</w:t>
      </w:r>
    </w:p>
    <w:p w:rsidR="0053605A" w:rsidRPr="00722460" w:rsidRDefault="0053605A" w:rsidP="0053605A">
      <w:pPr>
        <w:tabs>
          <w:tab w:val="num" w:pos="3088"/>
        </w:tabs>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第六条</w:t>
      </w:r>
      <w:r w:rsidRPr="00722460">
        <w:rPr>
          <w:rFonts w:eastAsia="仿宋_GB2312"/>
          <w:sz w:val="32"/>
          <w:szCs w:val="32"/>
        </w:rPr>
        <w:t>已备案技术机构不具备开展验证评价工作条件和能力，或不再继续从事验证评价工作的，应当在备案信息系统中自行取消备案信息。</w:t>
      </w:r>
    </w:p>
    <w:p w:rsidR="0053605A" w:rsidRPr="00722460" w:rsidRDefault="00157B29" w:rsidP="00055110">
      <w:pPr>
        <w:tabs>
          <w:tab w:val="num" w:pos="3088"/>
        </w:tabs>
        <w:adjustRightInd w:val="0"/>
        <w:snapToGrid w:val="0"/>
        <w:spacing w:line="620" w:lineRule="exact"/>
        <w:ind w:firstLineChars="200" w:firstLine="420"/>
        <w:rPr>
          <w:rFonts w:eastAsia="仿宋_GB2312"/>
          <w:sz w:val="32"/>
          <w:szCs w:val="32"/>
        </w:rPr>
      </w:pPr>
      <w:hyperlink r:id="rId7" w:tgtFrame="_blank" w:history="1">
        <w:r w:rsidR="0053605A" w:rsidRPr="00722460">
          <w:rPr>
            <w:rFonts w:eastAsia="仿宋_GB2312"/>
            <w:kern w:val="0"/>
            <w:sz w:val="32"/>
            <w:szCs w:val="32"/>
          </w:rPr>
          <w:t>国家食品药品监督管理总局</w:t>
        </w:r>
      </w:hyperlink>
      <w:r w:rsidR="0053605A" w:rsidRPr="00722460">
        <w:rPr>
          <w:rFonts w:eastAsia="仿宋_GB2312"/>
          <w:kern w:val="0"/>
          <w:sz w:val="32"/>
          <w:szCs w:val="32"/>
        </w:rPr>
        <w:t>发现</w:t>
      </w:r>
      <w:r w:rsidR="0053605A" w:rsidRPr="00722460">
        <w:rPr>
          <w:rFonts w:eastAsia="仿宋_GB2312"/>
          <w:sz w:val="32"/>
          <w:szCs w:val="32"/>
        </w:rPr>
        <w:t>已备案技术机构不具备开展验证评价工作条件和能力的，应当在备案信息系统中删除该备案信息。</w:t>
      </w:r>
    </w:p>
    <w:p w:rsidR="0053605A" w:rsidRPr="00722460" w:rsidRDefault="0053605A" w:rsidP="0053605A">
      <w:pPr>
        <w:widowControl/>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第七条</w:t>
      </w:r>
      <w:r w:rsidRPr="00722460">
        <w:rPr>
          <w:rFonts w:eastAsia="仿宋_GB2312"/>
          <w:kern w:val="0"/>
          <w:sz w:val="32"/>
          <w:szCs w:val="32"/>
        </w:rPr>
        <w:t>技术机构应当依照法律、法规、标准和有关要求开展验证评价工作，遵循独立、客观、公正、公开、诚信原则，对验证评价结论的真实性、可靠性负责。</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第八条</w:t>
      </w:r>
      <w:r w:rsidRPr="00722460">
        <w:rPr>
          <w:rFonts w:eastAsia="仿宋_GB2312"/>
          <w:kern w:val="0"/>
          <w:sz w:val="32"/>
          <w:szCs w:val="32"/>
        </w:rPr>
        <w:t>技术机构应当建立有效管理体系，制定完善管理制度，规范工作流程和业务文书，经常性进行内部审核并保存记录，保</w:t>
      </w:r>
      <w:r w:rsidRPr="00722460">
        <w:rPr>
          <w:rFonts w:eastAsia="仿宋_GB2312"/>
          <w:kern w:val="0"/>
          <w:sz w:val="32"/>
          <w:szCs w:val="32"/>
        </w:rPr>
        <w:lastRenderedPageBreak/>
        <w:t>证机构运行符合验证评价工作要求。</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受委托开展验证评价工作的，技术机构应当与委托方签订委托合同，不得将承担的验证评价工作委托其他技术机构开展。</w:t>
      </w:r>
    </w:p>
    <w:p w:rsidR="0053605A" w:rsidRPr="00722460" w:rsidRDefault="0053605A" w:rsidP="0053605A">
      <w:pPr>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 xml:space="preserve">第九条 </w:t>
      </w:r>
      <w:r w:rsidRPr="00722460">
        <w:rPr>
          <w:rFonts w:eastAsia="仿宋_GB2312"/>
          <w:sz w:val="32"/>
          <w:szCs w:val="32"/>
        </w:rPr>
        <w:t>技术机构应当建立人员资质审核、培训和考核制度，保证</w:t>
      </w:r>
      <w:r w:rsidRPr="00722460">
        <w:rPr>
          <w:rFonts w:eastAsia="仿宋_GB2312"/>
          <w:kern w:val="0"/>
          <w:sz w:val="32"/>
          <w:szCs w:val="32"/>
        </w:rPr>
        <w:t>人员资质、能力满足验证评价工作要求</w:t>
      </w:r>
      <w:r w:rsidRPr="00722460">
        <w:rPr>
          <w:rFonts w:eastAsia="仿宋_GB2312"/>
          <w:sz w:val="32"/>
          <w:szCs w:val="32"/>
        </w:rPr>
        <w:t>。</w:t>
      </w:r>
    </w:p>
    <w:p w:rsidR="0053605A" w:rsidRPr="00722460" w:rsidRDefault="0053605A" w:rsidP="0053605A">
      <w:pPr>
        <w:tabs>
          <w:tab w:val="num" w:pos="3088"/>
        </w:tabs>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验证评价工作人员应当遵纪守法，恪守职业道德，不得出具虚假信息、报告和结论。</w:t>
      </w:r>
    </w:p>
    <w:p w:rsidR="0053605A" w:rsidRPr="00722460" w:rsidRDefault="0053605A" w:rsidP="0053605A">
      <w:pPr>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第十条</w:t>
      </w:r>
      <w:r w:rsidRPr="00722460">
        <w:rPr>
          <w:rFonts w:eastAsia="仿宋_GB2312"/>
          <w:sz w:val="32"/>
          <w:szCs w:val="32"/>
        </w:rPr>
        <w:t>技术机构应当保证设施设备与环境条件满足验证评价工作需求。</w:t>
      </w:r>
    </w:p>
    <w:p w:rsidR="0053605A" w:rsidRPr="00722460" w:rsidRDefault="0053605A" w:rsidP="0053605A">
      <w:pPr>
        <w:tabs>
          <w:tab w:val="num" w:pos="3088"/>
        </w:tabs>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 xml:space="preserve">第十一条 </w:t>
      </w:r>
      <w:r w:rsidRPr="00722460">
        <w:rPr>
          <w:rFonts w:eastAsia="仿宋_GB2312"/>
          <w:kern w:val="0"/>
          <w:sz w:val="32"/>
          <w:szCs w:val="32"/>
        </w:rPr>
        <w:t>技术机构应当建立档案管理制度，完整保存相关文书资料，保证验证评价工作可追溯。</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 xml:space="preserve">第十二条 </w:t>
      </w:r>
      <w:r w:rsidRPr="00722460">
        <w:rPr>
          <w:rFonts w:eastAsia="仿宋_GB2312"/>
          <w:kern w:val="0"/>
          <w:sz w:val="32"/>
          <w:szCs w:val="32"/>
        </w:rPr>
        <w:t>技术机构应当建立申诉、投诉处理制度，及时处理对验证评价工作的异议和投诉，并保存记录。</w:t>
      </w:r>
    </w:p>
    <w:p w:rsidR="0053605A" w:rsidRPr="00722460" w:rsidRDefault="0053605A" w:rsidP="0053605A">
      <w:pPr>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第十三条</w:t>
      </w:r>
      <w:r w:rsidRPr="00722460">
        <w:rPr>
          <w:rFonts w:eastAsia="仿宋_GB2312"/>
          <w:sz w:val="32"/>
          <w:szCs w:val="32"/>
        </w:rPr>
        <w:t>技术机构应当建立特殊食品安全风险信息报告制度，在验证评价工作中发现系统性、行业性、区域性等特殊食品安全风险隐患时，应当及时通过备案信息系统提交报告，并保留相关证据。</w:t>
      </w:r>
    </w:p>
    <w:p w:rsidR="0053605A" w:rsidRPr="00722460" w:rsidRDefault="0053605A" w:rsidP="0053605A">
      <w:pPr>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 xml:space="preserve">第十四条 </w:t>
      </w:r>
      <w:r w:rsidRPr="00722460">
        <w:rPr>
          <w:rFonts w:eastAsia="仿宋_GB2312"/>
          <w:sz w:val="32"/>
          <w:szCs w:val="32"/>
          <w:lang w:val="zh-CN"/>
        </w:rPr>
        <w:t>技术机构应当在本机构网站或者以其他方式，公布开展验证评价工作资质或条件的证明文件，异议处理和投诉程序，以及遵守有关规定、独立公正从业、履行社会责任等承诺。</w:t>
      </w:r>
    </w:p>
    <w:p w:rsidR="0053605A" w:rsidRPr="00722460" w:rsidRDefault="0053605A" w:rsidP="0053605A">
      <w:pPr>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 xml:space="preserve">第十五条  </w:t>
      </w:r>
      <w:r w:rsidRPr="00722460">
        <w:rPr>
          <w:rFonts w:eastAsia="仿宋_GB2312"/>
          <w:sz w:val="32"/>
          <w:szCs w:val="32"/>
        </w:rPr>
        <w:t>技术机构及工作人员应当根据法律法规规定，对</w:t>
      </w:r>
      <w:r w:rsidRPr="00722460">
        <w:rPr>
          <w:rFonts w:eastAsia="仿宋_GB2312"/>
          <w:sz w:val="32"/>
          <w:szCs w:val="32"/>
        </w:rPr>
        <w:lastRenderedPageBreak/>
        <w:t>在验证评价工作中知悉的国家秘密、商业秘密、技术秘密和个人隐私履行保密义务。</w:t>
      </w:r>
    </w:p>
    <w:p w:rsidR="0053605A" w:rsidRPr="00722460" w:rsidRDefault="0053605A" w:rsidP="0053605A">
      <w:pPr>
        <w:widowControl/>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 xml:space="preserve">第十六条 </w:t>
      </w:r>
      <w:r w:rsidRPr="00722460">
        <w:rPr>
          <w:rFonts w:eastAsia="仿宋_GB2312"/>
          <w:sz w:val="32"/>
          <w:szCs w:val="32"/>
        </w:rPr>
        <w:t>国家食品药品监督管理总局应当在政府网站公布并更新技术机构名称、地址、联系人、联系方式和验证评价工作项目等备案基本信息，接受公众的查阅和监督。</w:t>
      </w:r>
    </w:p>
    <w:p w:rsidR="0053605A" w:rsidRPr="00722460" w:rsidRDefault="0053605A" w:rsidP="0053605A">
      <w:pPr>
        <w:tabs>
          <w:tab w:val="num" w:pos="3088"/>
        </w:tabs>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 xml:space="preserve">第十七条 </w:t>
      </w:r>
      <w:r w:rsidRPr="00722460">
        <w:rPr>
          <w:rFonts w:eastAsia="仿宋_GB2312"/>
          <w:kern w:val="0"/>
          <w:sz w:val="32"/>
          <w:szCs w:val="32"/>
        </w:rPr>
        <w:t>国家食品药品监督管理总局可以组织或委托省级食品药品监管部门对技术机构开展验证评价工作进行现场核查。检查结果将向有关部门通报并向社会公布。</w:t>
      </w:r>
    </w:p>
    <w:p w:rsidR="0053605A" w:rsidRPr="00722460" w:rsidRDefault="0053605A" w:rsidP="0053605A">
      <w:pPr>
        <w:widowControl/>
        <w:adjustRightInd w:val="0"/>
        <w:snapToGrid w:val="0"/>
        <w:spacing w:line="620" w:lineRule="exact"/>
        <w:ind w:firstLineChars="200" w:firstLine="640"/>
        <w:rPr>
          <w:rFonts w:eastAsia="仿宋_GB2312"/>
          <w:kern w:val="0"/>
          <w:sz w:val="32"/>
          <w:szCs w:val="32"/>
        </w:rPr>
      </w:pPr>
      <w:r w:rsidRPr="00722460">
        <w:rPr>
          <w:rFonts w:ascii="黑体" w:eastAsia="黑体" w:hAnsi="黑体"/>
          <w:kern w:val="0"/>
          <w:sz w:val="32"/>
          <w:szCs w:val="32"/>
        </w:rPr>
        <w:t xml:space="preserve">第十八条 </w:t>
      </w:r>
      <w:r w:rsidRPr="00722460">
        <w:rPr>
          <w:rFonts w:eastAsia="仿宋_GB2312"/>
          <w:kern w:val="0"/>
          <w:sz w:val="32"/>
          <w:szCs w:val="32"/>
        </w:rPr>
        <w:t>任何单位和个人发现技术机构在验证评价工作中存在违法违规行为，有权向国家食品药品监督管理总局举报。国家食品药品监督管理总局应当及时组织调查处理，并为举报人保密。</w:t>
      </w:r>
    </w:p>
    <w:p w:rsidR="0053605A" w:rsidRPr="00722460" w:rsidRDefault="0053605A" w:rsidP="0053605A">
      <w:pPr>
        <w:adjustRightInd w:val="0"/>
        <w:snapToGrid w:val="0"/>
        <w:spacing w:line="620" w:lineRule="exact"/>
        <w:ind w:firstLineChars="200" w:firstLine="640"/>
        <w:rPr>
          <w:rFonts w:eastAsia="仿宋_GB2312"/>
          <w:sz w:val="32"/>
          <w:szCs w:val="32"/>
        </w:rPr>
      </w:pPr>
      <w:r w:rsidRPr="00722460">
        <w:rPr>
          <w:rFonts w:ascii="黑体" w:eastAsia="黑体" w:hAnsi="黑体"/>
          <w:kern w:val="0"/>
          <w:sz w:val="32"/>
          <w:szCs w:val="32"/>
        </w:rPr>
        <w:t>第十九条</w:t>
      </w:r>
      <w:r w:rsidRPr="00722460">
        <w:rPr>
          <w:rFonts w:eastAsia="仿宋_GB2312"/>
          <w:sz w:val="32"/>
          <w:szCs w:val="32"/>
        </w:rPr>
        <w:t>本规范下列用语的含义：</w:t>
      </w:r>
    </w:p>
    <w:p w:rsidR="0053605A" w:rsidRPr="00722460" w:rsidRDefault="0053605A" w:rsidP="0053605A">
      <w:pPr>
        <w:adjustRightInd w:val="0"/>
        <w:snapToGrid w:val="0"/>
        <w:spacing w:line="620" w:lineRule="exact"/>
        <w:ind w:firstLineChars="200" w:firstLine="640"/>
        <w:rPr>
          <w:rFonts w:eastAsia="仿宋_GB2312"/>
          <w:sz w:val="32"/>
          <w:szCs w:val="32"/>
        </w:rPr>
      </w:pPr>
      <w:r w:rsidRPr="00722460">
        <w:rPr>
          <w:rFonts w:eastAsia="仿宋_GB2312"/>
          <w:sz w:val="32"/>
          <w:szCs w:val="32"/>
        </w:rPr>
        <w:t>特殊食品，指保健食品、婴幼儿配方食品、特殊医学用途配方食品等食品。</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产品检验，包括保健食品功效成分或标志性成分检测、稳定性试验、卫生学试验，必要时进行菌种鉴定、违禁药物成分检测等，婴幼儿配方乳粉产品全项检验和特殊医学用途配方食品产品全项检验。</w:t>
      </w:r>
    </w:p>
    <w:p w:rsidR="0053605A" w:rsidRPr="00722460" w:rsidRDefault="0053605A" w:rsidP="0053605A">
      <w:pPr>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t>安全与功能验证，包括保健食品安全性毒理学试验、菌种毒力试验等和功能学动物试验、功能学人体试食试验等。</w:t>
      </w:r>
    </w:p>
    <w:p w:rsidR="0053605A" w:rsidRPr="00722460" w:rsidRDefault="0053605A" w:rsidP="0053605A">
      <w:pPr>
        <w:widowControl/>
        <w:adjustRightInd w:val="0"/>
        <w:snapToGrid w:val="0"/>
        <w:spacing w:line="620" w:lineRule="exact"/>
        <w:ind w:firstLineChars="200" w:firstLine="640"/>
        <w:rPr>
          <w:rFonts w:eastAsia="仿宋_GB2312"/>
          <w:kern w:val="0"/>
          <w:sz w:val="32"/>
          <w:szCs w:val="32"/>
        </w:rPr>
      </w:pPr>
      <w:r w:rsidRPr="00722460">
        <w:rPr>
          <w:rFonts w:eastAsia="仿宋_GB2312"/>
          <w:kern w:val="0"/>
          <w:sz w:val="32"/>
          <w:szCs w:val="32"/>
        </w:rPr>
        <w:lastRenderedPageBreak/>
        <w:t>临床试验，指特殊医学用途配方食品临床试验。</w:t>
      </w:r>
    </w:p>
    <w:p w:rsidR="0053605A" w:rsidRPr="00722460" w:rsidRDefault="0053605A" w:rsidP="0053605A">
      <w:pPr>
        <w:snapToGrid w:val="0"/>
        <w:spacing w:line="620" w:lineRule="exact"/>
        <w:ind w:firstLineChars="200" w:firstLine="640"/>
        <w:rPr>
          <w:rFonts w:eastAsia="仿宋_GB2312"/>
          <w:kern w:val="0"/>
          <w:sz w:val="32"/>
          <w:szCs w:val="32"/>
        </w:rPr>
      </w:pPr>
      <w:r w:rsidRPr="00722460">
        <w:rPr>
          <w:rFonts w:eastAsia="仿宋_GB2312"/>
          <w:kern w:val="0"/>
          <w:sz w:val="32"/>
          <w:szCs w:val="32"/>
        </w:rPr>
        <w:t>产品检验机构资质，是指承担产品检验的机构应取得合法有效的国家认证认可的食品检验机构资质，检验能力范围涵盖申请的特殊食品检验项目。</w:t>
      </w:r>
    </w:p>
    <w:p w:rsidR="0053605A" w:rsidRPr="00722460" w:rsidRDefault="0053605A" w:rsidP="0053605A">
      <w:pPr>
        <w:snapToGrid w:val="0"/>
        <w:spacing w:line="620" w:lineRule="exact"/>
        <w:ind w:firstLineChars="200" w:firstLine="640"/>
        <w:rPr>
          <w:rFonts w:eastAsia="仿宋_GB2312"/>
          <w:kern w:val="0"/>
          <w:sz w:val="32"/>
          <w:szCs w:val="32"/>
        </w:rPr>
      </w:pPr>
      <w:r w:rsidRPr="00722460">
        <w:rPr>
          <w:rFonts w:eastAsia="仿宋_GB2312"/>
          <w:kern w:val="0"/>
          <w:sz w:val="32"/>
          <w:szCs w:val="32"/>
        </w:rPr>
        <w:t>功能验证机构条件，是指承担功能验证的机构应具有承担功能验证试验或药品临床试验工作的经历。</w:t>
      </w:r>
    </w:p>
    <w:p w:rsidR="0053605A" w:rsidRPr="00722460" w:rsidRDefault="0053605A" w:rsidP="0053605A">
      <w:pPr>
        <w:snapToGrid w:val="0"/>
        <w:spacing w:line="620" w:lineRule="exact"/>
        <w:ind w:firstLineChars="200" w:firstLine="640"/>
        <w:rPr>
          <w:rFonts w:eastAsia="仿宋_GB2312"/>
          <w:kern w:val="0"/>
          <w:sz w:val="32"/>
          <w:szCs w:val="32"/>
        </w:rPr>
      </w:pPr>
      <w:r w:rsidRPr="00722460">
        <w:rPr>
          <w:rFonts w:eastAsia="仿宋_GB2312"/>
          <w:kern w:val="0"/>
          <w:sz w:val="32"/>
          <w:szCs w:val="32"/>
        </w:rPr>
        <w:t>临床试验机构资质，是指承担临床试验的机构应当具有医疗机构执业资格</w:t>
      </w:r>
      <w:r w:rsidRPr="00722460">
        <w:rPr>
          <w:rFonts w:eastAsia="仿宋_GB2312"/>
          <w:color w:val="000000"/>
          <w:kern w:val="0"/>
          <w:sz w:val="32"/>
          <w:szCs w:val="32"/>
        </w:rPr>
        <w:t>，</w:t>
      </w:r>
      <w:r>
        <w:rPr>
          <w:rFonts w:eastAsia="仿宋_GB2312" w:hint="eastAsia"/>
          <w:color w:val="000000"/>
          <w:kern w:val="0"/>
          <w:sz w:val="32"/>
          <w:szCs w:val="32"/>
        </w:rPr>
        <w:t>具备药物临床试验条件，</w:t>
      </w:r>
      <w:r w:rsidRPr="00722460">
        <w:rPr>
          <w:rFonts w:eastAsia="仿宋_GB2312"/>
          <w:color w:val="000000"/>
          <w:kern w:val="0"/>
          <w:sz w:val="32"/>
          <w:szCs w:val="32"/>
        </w:rPr>
        <w:t>内设营养科室或与营养相关的专业科室</w:t>
      </w:r>
      <w:r w:rsidRPr="00722460">
        <w:rPr>
          <w:rFonts w:eastAsia="仿宋_GB2312"/>
          <w:kern w:val="0"/>
          <w:sz w:val="32"/>
          <w:szCs w:val="32"/>
        </w:rPr>
        <w:t>。</w:t>
      </w:r>
    </w:p>
    <w:p w:rsidR="0053605A" w:rsidRPr="00722460" w:rsidRDefault="0053605A" w:rsidP="0053605A">
      <w:pPr>
        <w:snapToGrid w:val="0"/>
        <w:spacing w:line="600" w:lineRule="exact"/>
        <w:ind w:firstLineChars="200" w:firstLine="640"/>
        <w:rPr>
          <w:rFonts w:eastAsia="仿宋_GB2312"/>
          <w:sz w:val="32"/>
          <w:szCs w:val="32"/>
        </w:rPr>
      </w:pPr>
      <w:r w:rsidRPr="00722460">
        <w:rPr>
          <w:rFonts w:ascii="黑体" w:eastAsia="黑体" w:hAnsi="黑体"/>
          <w:kern w:val="0"/>
          <w:sz w:val="32"/>
          <w:szCs w:val="32"/>
        </w:rPr>
        <w:t xml:space="preserve">第二十条  </w:t>
      </w:r>
      <w:r w:rsidRPr="00722460">
        <w:rPr>
          <w:rFonts w:eastAsia="仿宋_GB2312"/>
          <w:sz w:val="32"/>
          <w:szCs w:val="32"/>
        </w:rPr>
        <w:t>本规范自发布之日起施行。</w:t>
      </w:r>
      <w:bookmarkEnd w:id="0"/>
    </w:p>
    <w:sectPr w:rsidR="0053605A" w:rsidRPr="00722460" w:rsidSect="00722460">
      <w:footerReference w:type="even" r:id="rId8"/>
      <w:footerReference w:type="default" r:id="rId9"/>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42A" w:rsidRDefault="00F3342A" w:rsidP="0053605A">
      <w:r>
        <w:separator/>
      </w:r>
    </w:p>
  </w:endnote>
  <w:endnote w:type="continuationSeparator" w:id="1">
    <w:p w:rsidR="00F3342A" w:rsidRDefault="00F3342A" w:rsidP="005360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2F" w:rsidRPr="00722460" w:rsidRDefault="00292CF6">
    <w:pPr>
      <w:pStyle w:val="a4"/>
      <w:rPr>
        <w:sz w:val="28"/>
        <w:szCs w:val="28"/>
      </w:rPr>
    </w:pPr>
    <w:r w:rsidRPr="00722460">
      <w:rPr>
        <w:rFonts w:hint="eastAsia"/>
        <w:color w:val="FFFFFF"/>
        <w:sz w:val="28"/>
        <w:szCs w:val="28"/>
      </w:rPr>
      <w:t>—</w:t>
    </w:r>
    <w:r w:rsidRPr="00722460">
      <w:rPr>
        <w:rFonts w:hint="eastAsia"/>
        <w:sz w:val="28"/>
        <w:szCs w:val="28"/>
      </w:rPr>
      <w:t>—</w:t>
    </w:r>
    <w:r w:rsidR="00157B29" w:rsidRPr="00722460">
      <w:rPr>
        <w:sz w:val="28"/>
        <w:szCs w:val="28"/>
      </w:rPr>
      <w:fldChar w:fldCharType="begin"/>
    </w:r>
    <w:r w:rsidRPr="00722460">
      <w:rPr>
        <w:sz w:val="28"/>
        <w:szCs w:val="28"/>
      </w:rPr>
      <w:instrText>PAGE   \* MERGEFORMAT</w:instrText>
    </w:r>
    <w:r w:rsidR="00157B29" w:rsidRPr="00722460">
      <w:rPr>
        <w:sz w:val="28"/>
        <w:szCs w:val="28"/>
      </w:rPr>
      <w:fldChar w:fldCharType="separate"/>
    </w:r>
    <w:r w:rsidRPr="00B16847">
      <w:rPr>
        <w:noProof/>
        <w:sz w:val="28"/>
        <w:szCs w:val="28"/>
        <w:lang w:val="zh-CN"/>
      </w:rPr>
      <w:t>2</w:t>
    </w:r>
    <w:r w:rsidR="00157B29" w:rsidRPr="00722460">
      <w:rPr>
        <w:sz w:val="28"/>
        <w:szCs w:val="28"/>
      </w:rPr>
      <w:fldChar w:fldCharType="end"/>
    </w:r>
    <w:r w:rsidRPr="00722460">
      <w:rPr>
        <w:rFonts w:hint="eastAsia"/>
        <w:sz w:val="28"/>
        <w:szCs w:val="28"/>
      </w:rPr>
      <w:t>—</w:t>
    </w:r>
  </w:p>
  <w:p w:rsidR="009A1829" w:rsidRDefault="00F3342A"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9C" w:rsidRPr="00A24E9C" w:rsidRDefault="00292CF6" w:rsidP="00A24E9C">
    <w:pPr>
      <w:pStyle w:val="a4"/>
      <w:wordWrap w:val="0"/>
      <w:jc w:val="right"/>
    </w:pPr>
    <w:r>
      <w:rPr>
        <w:rFonts w:hint="eastAsia"/>
        <w:sz w:val="28"/>
        <w:szCs w:val="28"/>
      </w:rPr>
      <w:t>—</w:t>
    </w:r>
    <w:r w:rsidR="00157B29" w:rsidRPr="00A24E9C">
      <w:rPr>
        <w:sz w:val="28"/>
        <w:szCs w:val="28"/>
      </w:rPr>
      <w:fldChar w:fldCharType="begin"/>
    </w:r>
    <w:r w:rsidRPr="00A24E9C">
      <w:rPr>
        <w:sz w:val="28"/>
        <w:szCs w:val="28"/>
      </w:rPr>
      <w:instrText>PAGE   \* MERGEFORMAT</w:instrText>
    </w:r>
    <w:r w:rsidR="00157B29" w:rsidRPr="00A24E9C">
      <w:rPr>
        <w:sz w:val="28"/>
        <w:szCs w:val="28"/>
      </w:rPr>
      <w:fldChar w:fldCharType="separate"/>
    </w:r>
    <w:r w:rsidR="00DD71F2" w:rsidRPr="00DD71F2">
      <w:rPr>
        <w:noProof/>
        <w:sz w:val="28"/>
        <w:szCs w:val="28"/>
        <w:lang w:val="zh-CN"/>
      </w:rPr>
      <w:t>5</w:t>
    </w:r>
    <w:r w:rsidR="00157B29" w:rsidRPr="00A24E9C">
      <w:rPr>
        <w:sz w:val="28"/>
        <w:szCs w:val="28"/>
      </w:rPr>
      <w:fldChar w:fldCharType="end"/>
    </w:r>
    <w:r>
      <w:rPr>
        <w:rFonts w:hint="eastAsia"/>
        <w:sz w:val="28"/>
        <w:szCs w:val="28"/>
      </w:rPr>
      <w:t>—</w:t>
    </w:r>
    <w:r w:rsidRPr="00A24E9C">
      <w:rPr>
        <w:rFonts w:hint="eastAsia"/>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42A" w:rsidRDefault="00F3342A" w:rsidP="0053605A">
      <w:r>
        <w:separator/>
      </w:r>
    </w:p>
  </w:footnote>
  <w:footnote w:type="continuationSeparator" w:id="1">
    <w:p w:rsidR="00F3342A" w:rsidRDefault="00F3342A" w:rsidP="005360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3B1"/>
    <w:rsid w:val="00055110"/>
    <w:rsid w:val="00157B29"/>
    <w:rsid w:val="00292CF6"/>
    <w:rsid w:val="0053605A"/>
    <w:rsid w:val="007B03B1"/>
    <w:rsid w:val="00BA0C4F"/>
    <w:rsid w:val="00DD71F2"/>
    <w:rsid w:val="00F33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0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605A"/>
    <w:rPr>
      <w:sz w:val="18"/>
      <w:szCs w:val="18"/>
    </w:rPr>
  </w:style>
  <w:style w:type="paragraph" w:styleId="a4">
    <w:name w:val="footer"/>
    <w:basedOn w:val="a"/>
    <w:link w:val="Char0"/>
    <w:uiPriority w:val="99"/>
    <w:unhideWhenUsed/>
    <w:rsid w:val="005360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605A"/>
    <w:rPr>
      <w:sz w:val="18"/>
      <w:szCs w:val="18"/>
    </w:rPr>
  </w:style>
  <w:style w:type="paragraph" w:styleId="a5">
    <w:name w:val="annotation text"/>
    <w:basedOn w:val="a"/>
    <w:link w:val="Char1"/>
    <w:rsid w:val="0053605A"/>
    <w:pPr>
      <w:jc w:val="left"/>
    </w:pPr>
  </w:style>
  <w:style w:type="character" w:customStyle="1" w:styleId="Char1">
    <w:name w:val="批注文字 Char"/>
    <w:basedOn w:val="a0"/>
    <w:link w:val="a5"/>
    <w:rsid w:val="0053605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0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605A"/>
    <w:rPr>
      <w:sz w:val="18"/>
      <w:szCs w:val="18"/>
    </w:rPr>
  </w:style>
  <w:style w:type="paragraph" w:styleId="a4">
    <w:name w:val="footer"/>
    <w:basedOn w:val="a"/>
    <w:link w:val="Char0"/>
    <w:uiPriority w:val="99"/>
    <w:unhideWhenUsed/>
    <w:rsid w:val="005360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605A"/>
    <w:rPr>
      <w:sz w:val="18"/>
      <w:szCs w:val="18"/>
    </w:rPr>
  </w:style>
  <w:style w:type="paragraph" w:styleId="a5">
    <w:name w:val="annotation text"/>
    <w:basedOn w:val="a"/>
    <w:link w:val="Char1"/>
    <w:rsid w:val="0053605A"/>
    <w:pPr>
      <w:jc w:val="left"/>
    </w:pPr>
  </w:style>
  <w:style w:type="character" w:customStyle="1" w:styleId="Char1">
    <w:name w:val="批注文字 Char"/>
    <w:basedOn w:val="a0"/>
    <w:link w:val="a5"/>
    <w:rsid w:val="0053605A"/>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aike.sogou.com/lemma/ShowInnerLink.htm?lemmaId=110500"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sogou.com/lemma/ShowInnerLink.htm?lemmaId=1105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317</Words>
  <Characters>1808</Characters>
  <Application>Microsoft Office Word</Application>
  <DocSecurity>0</DocSecurity>
  <Lines>15</Lines>
  <Paragraphs>4</Paragraphs>
  <ScaleCrop>false</ScaleCrop>
  <Company>CFDA</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2017-10-31T02:57:00Z</dcterms:created>
  <dcterms:modified xsi:type="dcterms:W3CDTF">2017-10-31T02:57:00Z</dcterms:modified>
</cp:coreProperties>
</file>