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firstLine="0" w:firstLineChars="0"/>
        <w:jc w:val="left"/>
        <w:rPr>
          <w:rFonts w:eastAsia="宋体"/>
          <w:sz w:val="30"/>
          <w:szCs w:val="30"/>
        </w:rPr>
      </w:pPr>
      <w:bookmarkStart w:id="0" w:name="_Toc358754367"/>
      <w:bookmarkStart w:id="1" w:name="_Toc363925879"/>
      <w:bookmarkStart w:id="2" w:name="_Toc358755441"/>
      <w:bookmarkStart w:id="3" w:name="_Toc358883728"/>
      <w:bookmarkStart w:id="4" w:name="_Toc363646699"/>
    </w:p>
    <w:p>
      <w:pPr>
        <w:widowControl/>
        <w:adjustRightInd w:val="0"/>
        <w:snapToGrid w:val="0"/>
        <w:ind w:firstLine="600"/>
        <w:jc w:val="left"/>
        <w:rPr>
          <w:rFonts w:eastAsia="宋体"/>
          <w:sz w:val="30"/>
          <w:szCs w:val="30"/>
        </w:rPr>
      </w:pPr>
    </w:p>
    <w:p>
      <w:pPr>
        <w:widowControl/>
        <w:adjustRightInd w:val="0"/>
        <w:snapToGrid w:val="0"/>
        <w:ind w:firstLine="600"/>
        <w:jc w:val="left"/>
        <w:rPr>
          <w:rFonts w:eastAsia="宋体"/>
          <w:sz w:val="30"/>
          <w:szCs w:val="30"/>
        </w:rPr>
      </w:pPr>
    </w:p>
    <w:p>
      <w:pPr>
        <w:widowControl/>
        <w:adjustRightInd w:val="0"/>
        <w:snapToGrid w:val="0"/>
        <w:ind w:firstLine="600"/>
        <w:jc w:val="left"/>
        <w:rPr>
          <w:rFonts w:eastAsia="宋体"/>
          <w:sz w:val="30"/>
          <w:szCs w:val="30"/>
        </w:rPr>
      </w:pPr>
    </w:p>
    <w:p>
      <w:pPr>
        <w:widowControl/>
        <w:adjustRightInd w:val="0"/>
        <w:snapToGrid w:val="0"/>
        <w:ind w:firstLine="600"/>
        <w:jc w:val="left"/>
        <w:rPr>
          <w:rFonts w:eastAsia="宋体"/>
          <w:sz w:val="30"/>
          <w:szCs w:val="30"/>
        </w:rPr>
      </w:pPr>
    </w:p>
    <w:p>
      <w:pPr>
        <w:widowControl/>
        <w:adjustRightInd w:val="0"/>
        <w:snapToGrid w:val="0"/>
        <w:ind w:firstLine="600"/>
        <w:jc w:val="left"/>
        <w:rPr>
          <w:rFonts w:eastAsia="宋体"/>
          <w:sz w:val="30"/>
          <w:szCs w:val="30"/>
        </w:rPr>
      </w:pPr>
    </w:p>
    <w:p>
      <w:pPr>
        <w:widowControl/>
        <w:adjustRightInd w:val="0"/>
        <w:snapToGrid w:val="0"/>
        <w:ind w:firstLine="600"/>
        <w:jc w:val="left"/>
        <w:rPr>
          <w:rFonts w:eastAsia="宋体"/>
          <w:sz w:val="30"/>
          <w:szCs w:val="30"/>
        </w:rPr>
      </w:pPr>
    </w:p>
    <w:p>
      <w:pPr>
        <w:spacing w:afterLines="50"/>
        <w:ind w:firstLine="0" w:firstLineChars="0"/>
        <w:jc w:val="center"/>
        <w:rPr>
          <w:rFonts w:eastAsia="宋体"/>
          <w:b/>
          <w:bCs/>
          <w:sz w:val="52"/>
          <w:szCs w:val="52"/>
        </w:rPr>
      </w:pPr>
      <w:bookmarkStart w:id="5" w:name="_Toc370759194"/>
      <w:bookmarkStart w:id="6" w:name="_Toc370809127"/>
      <w:bookmarkStart w:id="7" w:name="_Toc370759236"/>
      <w:bookmarkStart w:id="8" w:name="_Toc370808537"/>
      <w:bookmarkStart w:id="9" w:name="_Toc370809847"/>
      <w:bookmarkStart w:id="10" w:name="_Toc370811149"/>
      <w:bookmarkStart w:id="11" w:name="_Toc364363013"/>
      <w:bookmarkStart w:id="12" w:name="_Toc371003616"/>
      <w:bookmarkStart w:id="13" w:name="_Toc371003903"/>
      <w:bookmarkStart w:id="14" w:name="_Toc370808622"/>
      <w:bookmarkStart w:id="15" w:name="_Toc364243850"/>
      <w:r>
        <w:rPr>
          <w:rFonts w:hint="eastAsia" w:eastAsia="宋体" w:cs="宋体"/>
          <w:b/>
          <w:bCs/>
          <w:sz w:val="52"/>
          <w:szCs w:val="52"/>
        </w:rPr>
        <w:t>个体化医学检测</w:t>
      </w:r>
    </w:p>
    <w:p>
      <w:pPr>
        <w:spacing w:afterLines="50"/>
        <w:ind w:firstLine="0" w:firstLineChars="0"/>
        <w:jc w:val="center"/>
        <w:rPr>
          <w:rFonts w:eastAsia="宋体"/>
          <w:b/>
          <w:bCs/>
          <w:sz w:val="52"/>
          <w:szCs w:val="52"/>
        </w:rPr>
      </w:pPr>
      <w:r>
        <w:rPr>
          <w:rFonts w:hint="eastAsia" w:eastAsia="宋体" w:cs="宋体"/>
          <w:b/>
          <w:bCs/>
          <w:sz w:val="52"/>
          <w:szCs w:val="52"/>
        </w:rPr>
        <w:t>微阵列基因芯片技术</w:t>
      </w:r>
      <w:bookmarkEnd w:id="5"/>
      <w:bookmarkEnd w:id="6"/>
      <w:bookmarkEnd w:id="7"/>
      <w:bookmarkEnd w:id="8"/>
      <w:bookmarkEnd w:id="9"/>
      <w:bookmarkEnd w:id="10"/>
      <w:bookmarkEnd w:id="11"/>
      <w:bookmarkEnd w:id="12"/>
      <w:bookmarkEnd w:id="13"/>
      <w:bookmarkEnd w:id="14"/>
      <w:bookmarkEnd w:id="15"/>
      <w:r>
        <w:rPr>
          <w:rFonts w:hint="eastAsia" w:eastAsia="宋体" w:cs="宋体"/>
          <w:b/>
          <w:bCs/>
          <w:sz w:val="52"/>
          <w:szCs w:val="52"/>
        </w:rPr>
        <w:t>规范</w:t>
      </w:r>
    </w:p>
    <w:p>
      <w:pPr>
        <w:adjustRightInd w:val="0"/>
        <w:snapToGrid w:val="0"/>
        <w:ind w:firstLine="480"/>
        <w:jc w:val="center"/>
        <w:rPr>
          <w:rFonts w:eastAsia="宋体"/>
        </w:rPr>
      </w:pPr>
    </w:p>
    <w:p>
      <w:pPr>
        <w:adjustRightInd w:val="0"/>
        <w:snapToGrid w:val="0"/>
        <w:ind w:firstLine="480"/>
        <w:jc w:val="center"/>
        <w:rPr>
          <w:rFonts w:eastAsia="宋体"/>
        </w:rPr>
      </w:pPr>
    </w:p>
    <w:bookmarkEnd w:id="0"/>
    <w:bookmarkEnd w:id="1"/>
    <w:bookmarkEnd w:id="2"/>
    <w:bookmarkEnd w:id="3"/>
    <w:bookmarkEnd w:id="4"/>
    <w:p>
      <w:pPr>
        <w:pStyle w:val="15"/>
        <w:adjustRightInd w:val="0"/>
        <w:snapToGrid w:val="0"/>
        <w:spacing w:afterLines="50"/>
        <w:ind w:firstLine="0" w:firstLineChars="0"/>
        <w:jc w:val="center"/>
        <w:rPr>
          <w:rFonts w:eastAsia="宋体"/>
          <w:b/>
          <w:bCs/>
        </w:rPr>
      </w:pPr>
      <w:r>
        <w:rPr>
          <w:rFonts w:eastAsia="宋体"/>
          <w:b/>
          <w:bCs/>
        </w:rPr>
        <w:br w:type="page"/>
      </w:r>
      <w:bookmarkStart w:id="68" w:name="_GoBack"/>
      <w:bookmarkEnd w:id="68"/>
      <w:r>
        <w:rPr>
          <w:rFonts w:hint="eastAsia" w:eastAsia="宋体" w:cs="宋体"/>
          <w:b/>
          <w:bCs/>
        </w:rPr>
        <w:t>前言</w:t>
      </w:r>
    </w:p>
    <w:p>
      <w:pPr>
        <w:pStyle w:val="15"/>
        <w:adjustRightInd w:val="0"/>
        <w:snapToGrid w:val="0"/>
        <w:spacing w:afterLines="50"/>
        <w:ind w:firstLine="480"/>
        <w:rPr>
          <w:rFonts w:eastAsia="宋体"/>
        </w:rPr>
      </w:pPr>
      <w:r>
        <w:rPr>
          <w:rFonts w:hint="eastAsia" w:eastAsia="宋体" w:cs="宋体"/>
        </w:rPr>
        <w:t>微阵列基因芯片是基于</w:t>
      </w:r>
      <w:r>
        <w:rPr>
          <w:rFonts w:eastAsia="宋体"/>
        </w:rPr>
        <w:t>DNA</w:t>
      </w:r>
      <w:r>
        <w:rPr>
          <w:rFonts w:hint="eastAsia" w:eastAsia="宋体" w:cs="宋体"/>
        </w:rPr>
        <w:t>分子杂交技术原理研制，通过探针结合碱基互补序列的单链核酸，从而确定其相应序列来识别基因或其产物。能够同时快速检测多个基因及其多个位点，在多态性分析、突变分析、基因表达谱测定及杂交测序等多领域具有广泛应用价值。</w:t>
      </w:r>
    </w:p>
    <w:p>
      <w:pPr>
        <w:pStyle w:val="15"/>
        <w:adjustRightInd w:val="0"/>
        <w:snapToGrid w:val="0"/>
        <w:spacing w:afterLines="50"/>
        <w:ind w:firstLine="480"/>
        <w:rPr>
          <w:rFonts w:eastAsia="宋体"/>
        </w:rPr>
      </w:pPr>
      <w:r>
        <w:rPr>
          <w:rFonts w:hint="eastAsia" w:eastAsia="宋体" w:cs="宋体"/>
        </w:rPr>
        <w:t>临床诊断技术使用的微阵列基因芯片，可快速鉴定病原体、检测遗传突变及基因表达，更早更方便的检测肿瘤基因标志，检测药物反应和代谢相关基因多态性来指导临床个体化治疗。</w:t>
      </w:r>
    </w:p>
    <w:p>
      <w:pPr>
        <w:pStyle w:val="15"/>
        <w:adjustRightInd w:val="0"/>
        <w:snapToGrid w:val="0"/>
        <w:spacing w:afterLines="50"/>
        <w:ind w:firstLine="480"/>
        <w:rPr>
          <w:rFonts w:eastAsia="宋体"/>
        </w:rPr>
      </w:pPr>
      <w:r>
        <w:rPr>
          <w:rFonts w:hint="eastAsia" w:eastAsia="宋体" w:cs="宋体"/>
        </w:rPr>
        <w:t>本规范旨在对个体化医学检测中采用微阵列基因芯片检测核酸序列以及基因表达进行一般性技术指导，不包括行政审批要求。</w:t>
      </w:r>
    </w:p>
    <w:p>
      <w:pPr>
        <w:pStyle w:val="15"/>
        <w:adjustRightInd w:val="0"/>
        <w:snapToGrid w:val="0"/>
        <w:spacing w:afterLines="50"/>
        <w:ind w:firstLine="480"/>
        <w:rPr>
          <w:rFonts w:eastAsia="宋体"/>
        </w:rPr>
      </w:pPr>
      <w:r>
        <w:rPr>
          <w:rFonts w:hint="eastAsia" w:eastAsia="宋体" w:cs="宋体"/>
        </w:rPr>
        <w:t>本规范由全国生物芯片标准化技术委员会（</w:t>
      </w:r>
      <w:r>
        <w:rPr>
          <w:rFonts w:eastAsia="宋体"/>
        </w:rPr>
        <w:t>SAC/TC 421</w:t>
      </w:r>
      <w:r>
        <w:rPr>
          <w:rFonts w:hint="eastAsia" w:eastAsia="宋体" w:cs="宋体"/>
        </w:rPr>
        <w:t>）提出。</w:t>
      </w:r>
    </w:p>
    <w:p>
      <w:pPr>
        <w:pStyle w:val="15"/>
        <w:adjustRightInd w:val="0"/>
        <w:snapToGrid w:val="0"/>
        <w:spacing w:afterLines="50"/>
        <w:ind w:firstLine="480"/>
        <w:rPr>
          <w:rFonts w:eastAsia="宋体"/>
        </w:rPr>
      </w:pPr>
      <w:r>
        <w:rPr>
          <w:rFonts w:hint="eastAsia" w:eastAsia="宋体" w:cs="宋体"/>
        </w:rPr>
        <w:t>本规范起草单位：全国生物芯片标准化技术委员会、清华大学医学院、生物芯片北京国家工程研究中心、北京博奥医学检验所。</w:t>
      </w:r>
    </w:p>
    <w:p>
      <w:pPr>
        <w:pStyle w:val="15"/>
        <w:adjustRightInd w:val="0"/>
        <w:snapToGrid w:val="0"/>
        <w:spacing w:afterLines="50"/>
        <w:ind w:firstLine="480"/>
        <w:rPr>
          <w:rFonts w:eastAsia="宋体"/>
        </w:rPr>
      </w:pPr>
      <w:r>
        <w:rPr>
          <w:rFonts w:hint="eastAsia" w:eastAsia="宋体" w:cs="宋体"/>
        </w:rPr>
        <w:t>本规范起草人：项光新、李元源、王辉、邓涛、孙义民、张治位、张川、邢婉丽、程京。</w:t>
      </w:r>
    </w:p>
    <w:p>
      <w:pPr>
        <w:pStyle w:val="15"/>
        <w:adjustRightInd w:val="0"/>
        <w:snapToGrid w:val="0"/>
        <w:spacing w:afterLines="50"/>
        <w:ind w:firstLine="480"/>
        <w:jc w:val="center"/>
        <w:rPr>
          <w:b/>
          <w:bCs/>
        </w:rPr>
      </w:pPr>
      <w:r>
        <w:rPr>
          <w:rFonts w:eastAsia="宋体"/>
        </w:rPr>
        <w:br w:type="page"/>
      </w:r>
      <w:r>
        <w:rPr>
          <w:rFonts w:hint="eastAsia" w:cs="仿宋_GB2312"/>
          <w:b/>
          <w:bCs/>
          <w:lang w:val="zh-CN"/>
        </w:rPr>
        <w:t>目录</w:t>
      </w:r>
    </w:p>
    <w:p>
      <w:pPr>
        <w:pStyle w:val="7"/>
        <w:jc w:val="center"/>
        <w:rPr>
          <w:rFonts w:eastAsia="宋体"/>
          <w:sz w:val="21"/>
          <w:szCs w:val="21"/>
        </w:rPr>
      </w:pPr>
      <w:r>
        <w:fldChar w:fldCharType="begin"/>
      </w:r>
      <w:r>
        <w:instrText xml:space="preserve"> TOC \o "1-3" \h \z \u </w:instrText>
      </w:r>
      <w:r>
        <w:fldChar w:fldCharType="separate"/>
      </w:r>
      <w:r>
        <w:fldChar w:fldCharType="begin"/>
      </w:r>
      <w:r>
        <w:instrText xml:space="preserve"> HYPERLINK \l "_Toc389579853" </w:instrText>
      </w:r>
      <w:r>
        <w:fldChar w:fldCharType="separate"/>
      </w:r>
      <w:r>
        <w:rPr>
          <w:rStyle w:val="9"/>
          <w:b/>
          <w:bCs/>
        </w:rPr>
        <w:t>1.</w:t>
      </w:r>
      <w:r>
        <w:rPr>
          <w:rStyle w:val="9"/>
          <w:rFonts w:hint="eastAsia" w:cs="仿宋_GB2312"/>
          <w:b/>
          <w:bCs/>
        </w:rPr>
        <w:t>适用范围</w:t>
      </w:r>
      <w:r>
        <w:tab/>
      </w:r>
      <w:r>
        <w:fldChar w:fldCharType="begin"/>
      </w:r>
      <w:r>
        <w:instrText xml:space="preserve"> PAGEREF _Toc389579853 \h </w:instrText>
      </w:r>
      <w:r>
        <w:fldChar w:fldCharType="separate"/>
      </w:r>
      <w:r>
        <w:t>1</w:t>
      </w:r>
      <w:r>
        <w:fldChar w:fldCharType="end"/>
      </w:r>
      <w:r>
        <w:fldChar w:fldCharType="end"/>
      </w:r>
    </w:p>
    <w:p>
      <w:pPr>
        <w:pStyle w:val="7"/>
        <w:jc w:val="center"/>
        <w:rPr>
          <w:rFonts w:eastAsia="宋体"/>
          <w:sz w:val="21"/>
          <w:szCs w:val="21"/>
        </w:rPr>
      </w:pPr>
      <w:r>
        <w:fldChar w:fldCharType="begin"/>
      </w:r>
      <w:r>
        <w:instrText xml:space="preserve"> HYPERLINK \l "_Toc389579854" </w:instrText>
      </w:r>
      <w:r>
        <w:fldChar w:fldCharType="separate"/>
      </w:r>
      <w:r>
        <w:rPr>
          <w:rStyle w:val="9"/>
          <w:b/>
          <w:bCs/>
        </w:rPr>
        <w:t>2.</w:t>
      </w:r>
      <w:r>
        <w:rPr>
          <w:rStyle w:val="9"/>
          <w:rFonts w:hint="eastAsia" w:cs="仿宋_GB2312"/>
          <w:b/>
          <w:bCs/>
        </w:rPr>
        <w:t>声明</w:t>
      </w:r>
      <w:r>
        <w:rPr>
          <w:rStyle w:val="9"/>
          <w:b/>
          <w:bCs/>
        </w:rPr>
        <w:t>/</w:t>
      </w:r>
      <w:r>
        <w:rPr>
          <w:rStyle w:val="9"/>
          <w:rFonts w:hint="eastAsia" w:cs="仿宋_GB2312"/>
          <w:b/>
          <w:bCs/>
        </w:rPr>
        <w:t>警告</w:t>
      </w:r>
      <w:r>
        <w:tab/>
      </w:r>
      <w:r>
        <w:fldChar w:fldCharType="begin"/>
      </w:r>
      <w:r>
        <w:instrText xml:space="preserve"> PAGEREF _Toc389579854 \h </w:instrText>
      </w:r>
      <w:r>
        <w:fldChar w:fldCharType="separate"/>
      </w:r>
      <w:r>
        <w:t>1</w:t>
      </w:r>
      <w:r>
        <w:fldChar w:fldCharType="end"/>
      </w:r>
      <w:r>
        <w:fldChar w:fldCharType="end"/>
      </w:r>
    </w:p>
    <w:p>
      <w:pPr>
        <w:pStyle w:val="7"/>
        <w:jc w:val="center"/>
        <w:rPr>
          <w:rFonts w:eastAsia="宋体"/>
          <w:sz w:val="21"/>
          <w:szCs w:val="21"/>
        </w:rPr>
      </w:pPr>
      <w:r>
        <w:fldChar w:fldCharType="begin"/>
      </w:r>
      <w:r>
        <w:instrText xml:space="preserve"> HYPERLINK \l "_Toc389579855" </w:instrText>
      </w:r>
      <w:r>
        <w:fldChar w:fldCharType="separate"/>
      </w:r>
      <w:r>
        <w:rPr>
          <w:rStyle w:val="9"/>
          <w:b/>
          <w:bCs/>
        </w:rPr>
        <w:t>3.</w:t>
      </w:r>
      <w:r>
        <w:rPr>
          <w:rStyle w:val="9"/>
          <w:rFonts w:hint="eastAsia" w:cs="仿宋_GB2312"/>
          <w:b/>
          <w:bCs/>
        </w:rPr>
        <w:t>术语和定义</w:t>
      </w:r>
      <w:r>
        <w:tab/>
      </w:r>
      <w:r>
        <w:fldChar w:fldCharType="begin"/>
      </w:r>
      <w:r>
        <w:instrText xml:space="preserve"> PAGEREF _Toc389579855 \h </w:instrText>
      </w:r>
      <w:r>
        <w:fldChar w:fldCharType="separate"/>
      </w:r>
      <w:r>
        <w:t>1</w:t>
      </w:r>
      <w:r>
        <w:fldChar w:fldCharType="end"/>
      </w:r>
      <w:r>
        <w:fldChar w:fldCharType="end"/>
      </w:r>
    </w:p>
    <w:p>
      <w:pPr>
        <w:pStyle w:val="7"/>
        <w:jc w:val="center"/>
        <w:rPr>
          <w:rFonts w:eastAsia="宋体"/>
          <w:sz w:val="21"/>
          <w:szCs w:val="21"/>
        </w:rPr>
      </w:pPr>
      <w:r>
        <w:fldChar w:fldCharType="begin"/>
      </w:r>
      <w:r>
        <w:instrText xml:space="preserve"> HYPERLINK \l "_Toc389579856" </w:instrText>
      </w:r>
      <w:r>
        <w:fldChar w:fldCharType="separate"/>
      </w:r>
      <w:r>
        <w:rPr>
          <w:rStyle w:val="9"/>
          <w:b/>
          <w:bCs/>
        </w:rPr>
        <w:t>4.</w:t>
      </w:r>
      <w:r>
        <w:rPr>
          <w:rStyle w:val="9"/>
          <w:rFonts w:hint="eastAsia" w:cs="仿宋_GB2312"/>
          <w:b/>
          <w:bCs/>
        </w:rPr>
        <w:t>样本处理</w:t>
      </w:r>
      <w:r>
        <w:tab/>
      </w:r>
      <w:r>
        <w:fldChar w:fldCharType="begin"/>
      </w:r>
      <w:r>
        <w:instrText xml:space="preserve"> PAGEREF _Toc389579856 \h </w:instrText>
      </w:r>
      <w:r>
        <w:fldChar w:fldCharType="separate"/>
      </w:r>
      <w:r>
        <w:t>2</w:t>
      </w:r>
      <w:r>
        <w:fldChar w:fldCharType="end"/>
      </w:r>
      <w:r>
        <w:fldChar w:fldCharType="end"/>
      </w:r>
    </w:p>
    <w:p>
      <w:pPr>
        <w:pStyle w:val="4"/>
        <w:ind w:firstLine="480"/>
        <w:jc w:val="center"/>
        <w:rPr>
          <w:rFonts w:eastAsia="宋体"/>
          <w:sz w:val="21"/>
          <w:szCs w:val="21"/>
        </w:rPr>
      </w:pPr>
      <w:r>
        <w:fldChar w:fldCharType="begin"/>
      </w:r>
      <w:r>
        <w:instrText xml:space="preserve"> HYPERLINK \l "_Toc389579857" </w:instrText>
      </w:r>
      <w:r>
        <w:fldChar w:fldCharType="separate"/>
      </w:r>
      <w:r>
        <w:rPr>
          <w:rStyle w:val="9"/>
          <w:b/>
          <w:bCs/>
        </w:rPr>
        <w:t>4.1</w:t>
      </w:r>
      <w:r>
        <w:rPr>
          <w:rStyle w:val="9"/>
          <w:rFonts w:hint="eastAsia" w:cs="仿宋_GB2312"/>
          <w:b/>
          <w:bCs/>
        </w:rPr>
        <w:t>样本类型</w:t>
      </w:r>
      <w:r>
        <w:tab/>
      </w:r>
      <w:r>
        <w:fldChar w:fldCharType="begin"/>
      </w:r>
      <w:r>
        <w:instrText xml:space="preserve"> PAGEREF _Toc389579857 \h </w:instrText>
      </w:r>
      <w:r>
        <w:fldChar w:fldCharType="separate"/>
      </w:r>
      <w:r>
        <w:t>2</w:t>
      </w:r>
      <w:r>
        <w:fldChar w:fldCharType="end"/>
      </w:r>
      <w:r>
        <w:fldChar w:fldCharType="end"/>
      </w:r>
    </w:p>
    <w:p>
      <w:pPr>
        <w:pStyle w:val="4"/>
        <w:ind w:firstLine="480"/>
        <w:jc w:val="center"/>
        <w:rPr>
          <w:rFonts w:eastAsia="宋体"/>
          <w:sz w:val="21"/>
          <w:szCs w:val="21"/>
        </w:rPr>
      </w:pPr>
      <w:r>
        <w:fldChar w:fldCharType="begin"/>
      </w:r>
      <w:r>
        <w:instrText xml:space="preserve"> HYPERLINK \l "_Toc389579858" </w:instrText>
      </w:r>
      <w:r>
        <w:fldChar w:fldCharType="separate"/>
      </w:r>
      <w:r>
        <w:rPr>
          <w:rStyle w:val="9"/>
          <w:b/>
          <w:bCs/>
        </w:rPr>
        <w:t>4.2</w:t>
      </w:r>
      <w:r>
        <w:rPr>
          <w:rStyle w:val="9"/>
          <w:rFonts w:hint="eastAsia" w:cs="仿宋_GB2312"/>
          <w:b/>
          <w:bCs/>
        </w:rPr>
        <w:t>样本采集、运输与保存</w:t>
      </w:r>
      <w:r>
        <w:tab/>
      </w:r>
      <w:r>
        <w:fldChar w:fldCharType="begin"/>
      </w:r>
      <w:r>
        <w:instrText xml:space="preserve"> PAGEREF _Toc389579858 \h </w:instrText>
      </w:r>
      <w:r>
        <w:fldChar w:fldCharType="separate"/>
      </w:r>
      <w:r>
        <w:t>3</w:t>
      </w:r>
      <w:r>
        <w:fldChar w:fldCharType="end"/>
      </w:r>
      <w:r>
        <w:fldChar w:fldCharType="end"/>
      </w:r>
    </w:p>
    <w:p>
      <w:pPr>
        <w:pStyle w:val="4"/>
        <w:ind w:firstLine="480"/>
        <w:jc w:val="center"/>
        <w:rPr>
          <w:rFonts w:eastAsia="宋体"/>
          <w:sz w:val="21"/>
          <w:szCs w:val="21"/>
        </w:rPr>
      </w:pPr>
      <w:r>
        <w:fldChar w:fldCharType="begin"/>
      </w:r>
      <w:r>
        <w:instrText xml:space="preserve"> HYPERLINK \l "_Toc389579859" </w:instrText>
      </w:r>
      <w:r>
        <w:fldChar w:fldCharType="separate"/>
      </w:r>
      <w:r>
        <w:rPr>
          <w:rStyle w:val="9"/>
          <w:b/>
          <w:bCs/>
        </w:rPr>
        <w:t>4.3</w:t>
      </w:r>
      <w:r>
        <w:rPr>
          <w:rStyle w:val="9"/>
          <w:rFonts w:hint="eastAsia" w:cs="仿宋_GB2312"/>
          <w:b/>
          <w:bCs/>
        </w:rPr>
        <w:t>样本质量保证</w:t>
      </w:r>
      <w:r>
        <w:tab/>
      </w:r>
      <w:r>
        <w:fldChar w:fldCharType="begin"/>
      </w:r>
      <w:r>
        <w:instrText xml:space="preserve"> PAGEREF _Toc389579859 \h </w:instrText>
      </w:r>
      <w:r>
        <w:fldChar w:fldCharType="separate"/>
      </w:r>
      <w:r>
        <w:t>3</w:t>
      </w:r>
      <w:r>
        <w:fldChar w:fldCharType="end"/>
      </w:r>
      <w:r>
        <w:fldChar w:fldCharType="end"/>
      </w:r>
    </w:p>
    <w:p>
      <w:pPr>
        <w:pStyle w:val="4"/>
        <w:ind w:firstLine="480"/>
        <w:jc w:val="center"/>
        <w:rPr>
          <w:rFonts w:eastAsia="宋体"/>
          <w:sz w:val="21"/>
          <w:szCs w:val="21"/>
        </w:rPr>
      </w:pPr>
      <w:r>
        <w:fldChar w:fldCharType="begin"/>
      </w:r>
      <w:r>
        <w:instrText xml:space="preserve"> HYPERLINK \l "_Toc389579860" </w:instrText>
      </w:r>
      <w:r>
        <w:fldChar w:fldCharType="separate"/>
      </w:r>
      <w:r>
        <w:rPr>
          <w:rStyle w:val="9"/>
          <w:b/>
          <w:bCs/>
        </w:rPr>
        <w:t>4.4</w:t>
      </w:r>
      <w:r>
        <w:rPr>
          <w:rStyle w:val="9"/>
          <w:rFonts w:hint="eastAsia" w:cs="仿宋_GB2312"/>
          <w:b/>
          <w:bCs/>
        </w:rPr>
        <w:t>样本信息保存</w:t>
      </w:r>
      <w:r>
        <w:tab/>
      </w:r>
      <w:r>
        <w:fldChar w:fldCharType="begin"/>
      </w:r>
      <w:r>
        <w:instrText xml:space="preserve"> PAGEREF _Toc389579860 \h </w:instrText>
      </w:r>
      <w:r>
        <w:fldChar w:fldCharType="separate"/>
      </w:r>
      <w:r>
        <w:t>3</w:t>
      </w:r>
      <w:r>
        <w:fldChar w:fldCharType="end"/>
      </w:r>
      <w:r>
        <w:fldChar w:fldCharType="end"/>
      </w:r>
    </w:p>
    <w:p>
      <w:pPr>
        <w:pStyle w:val="7"/>
        <w:jc w:val="center"/>
        <w:rPr>
          <w:rFonts w:eastAsia="宋体"/>
          <w:sz w:val="21"/>
          <w:szCs w:val="21"/>
        </w:rPr>
      </w:pPr>
      <w:r>
        <w:fldChar w:fldCharType="begin"/>
      </w:r>
      <w:r>
        <w:instrText xml:space="preserve"> HYPERLINK \l "_Toc389579861" </w:instrText>
      </w:r>
      <w:r>
        <w:fldChar w:fldCharType="separate"/>
      </w:r>
      <w:r>
        <w:rPr>
          <w:rStyle w:val="9"/>
          <w:b/>
          <w:bCs/>
        </w:rPr>
        <w:t>5.</w:t>
      </w:r>
      <w:r>
        <w:rPr>
          <w:rStyle w:val="9"/>
          <w:rFonts w:hint="eastAsia" w:cs="仿宋_GB2312"/>
          <w:b/>
          <w:bCs/>
        </w:rPr>
        <w:t>检测各步骤分述</w:t>
      </w:r>
      <w:r>
        <w:tab/>
      </w:r>
      <w:r>
        <w:fldChar w:fldCharType="begin"/>
      </w:r>
      <w:r>
        <w:instrText xml:space="preserve"> PAGEREF _Toc389579861 \h </w:instrText>
      </w:r>
      <w:r>
        <w:fldChar w:fldCharType="separate"/>
      </w:r>
      <w:r>
        <w:t>4</w:t>
      </w:r>
      <w:r>
        <w:fldChar w:fldCharType="end"/>
      </w:r>
      <w:r>
        <w:fldChar w:fldCharType="end"/>
      </w:r>
    </w:p>
    <w:p>
      <w:pPr>
        <w:pStyle w:val="4"/>
        <w:ind w:firstLine="480"/>
        <w:jc w:val="center"/>
        <w:rPr>
          <w:rFonts w:eastAsia="宋体"/>
          <w:sz w:val="21"/>
          <w:szCs w:val="21"/>
        </w:rPr>
      </w:pPr>
      <w:r>
        <w:fldChar w:fldCharType="begin"/>
      </w:r>
      <w:r>
        <w:instrText xml:space="preserve"> HYPERLINK \l "_Toc389579862" </w:instrText>
      </w:r>
      <w:r>
        <w:fldChar w:fldCharType="separate"/>
      </w:r>
      <w:r>
        <w:rPr>
          <w:rStyle w:val="9"/>
          <w:b/>
          <w:bCs/>
        </w:rPr>
        <w:t>5.1</w:t>
      </w:r>
      <w:r>
        <w:rPr>
          <w:rStyle w:val="9"/>
          <w:rFonts w:hint="eastAsia" w:cs="仿宋_GB2312"/>
          <w:b/>
          <w:bCs/>
        </w:rPr>
        <w:t>核酸分离</w:t>
      </w:r>
      <w:r>
        <w:tab/>
      </w:r>
      <w:r>
        <w:fldChar w:fldCharType="begin"/>
      </w:r>
      <w:r>
        <w:instrText xml:space="preserve"> PAGEREF _Toc389579862 \h </w:instrText>
      </w:r>
      <w:r>
        <w:fldChar w:fldCharType="separate"/>
      </w:r>
      <w:r>
        <w:t>4</w:t>
      </w:r>
      <w:r>
        <w:fldChar w:fldCharType="end"/>
      </w:r>
      <w:r>
        <w:fldChar w:fldCharType="end"/>
      </w:r>
    </w:p>
    <w:p>
      <w:pPr>
        <w:pStyle w:val="4"/>
        <w:ind w:firstLine="480"/>
        <w:jc w:val="center"/>
        <w:rPr>
          <w:rFonts w:eastAsia="宋体"/>
          <w:sz w:val="21"/>
          <w:szCs w:val="21"/>
        </w:rPr>
      </w:pPr>
      <w:r>
        <w:fldChar w:fldCharType="begin"/>
      </w:r>
      <w:r>
        <w:instrText xml:space="preserve"> HYPERLINK \l "_Toc389579863" </w:instrText>
      </w:r>
      <w:r>
        <w:fldChar w:fldCharType="separate"/>
      </w:r>
      <w:r>
        <w:rPr>
          <w:rStyle w:val="9"/>
          <w:b/>
          <w:bCs/>
        </w:rPr>
        <w:t>5.2</w:t>
      </w:r>
      <w:r>
        <w:rPr>
          <w:rStyle w:val="9"/>
          <w:rFonts w:hint="eastAsia" w:cs="仿宋_GB2312"/>
          <w:b/>
          <w:bCs/>
        </w:rPr>
        <w:t>核酸定量（如适用）</w:t>
      </w:r>
      <w:r>
        <w:tab/>
      </w:r>
      <w:r>
        <w:fldChar w:fldCharType="begin"/>
      </w:r>
      <w:r>
        <w:instrText xml:space="preserve"> PAGEREF _Toc389579863 \h </w:instrText>
      </w:r>
      <w:r>
        <w:fldChar w:fldCharType="separate"/>
      </w:r>
      <w:r>
        <w:t>4</w:t>
      </w:r>
      <w:r>
        <w:fldChar w:fldCharType="end"/>
      </w:r>
      <w:r>
        <w:fldChar w:fldCharType="end"/>
      </w:r>
    </w:p>
    <w:p>
      <w:pPr>
        <w:pStyle w:val="4"/>
        <w:ind w:firstLine="480"/>
        <w:jc w:val="center"/>
        <w:rPr>
          <w:rFonts w:eastAsia="宋体"/>
          <w:sz w:val="21"/>
          <w:szCs w:val="21"/>
        </w:rPr>
      </w:pPr>
      <w:r>
        <w:fldChar w:fldCharType="begin"/>
      </w:r>
      <w:r>
        <w:instrText xml:space="preserve"> HYPERLINK \l "_Toc389579864" </w:instrText>
      </w:r>
      <w:r>
        <w:fldChar w:fldCharType="separate"/>
      </w:r>
      <w:r>
        <w:rPr>
          <w:rStyle w:val="9"/>
          <w:b/>
          <w:bCs/>
        </w:rPr>
        <w:t>5.3</w:t>
      </w:r>
      <w:r>
        <w:rPr>
          <w:rStyle w:val="9"/>
          <w:rFonts w:hint="eastAsia" w:cs="仿宋_GB2312"/>
          <w:b/>
          <w:bCs/>
        </w:rPr>
        <w:t>核酸扩增和标记</w:t>
      </w:r>
      <w:r>
        <w:tab/>
      </w:r>
      <w:r>
        <w:fldChar w:fldCharType="begin"/>
      </w:r>
      <w:r>
        <w:instrText xml:space="preserve"> PAGEREF _Toc389579864 \h </w:instrText>
      </w:r>
      <w:r>
        <w:fldChar w:fldCharType="separate"/>
      </w:r>
      <w:r>
        <w:t>4</w:t>
      </w:r>
      <w:r>
        <w:fldChar w:fldCharType="end"/>
      </w:r>
      <w:r>
        <w:fldChar w:fldCharType="end"/>
      </w:r>
    </w:p>
    <w:p>
      <w:pPr>
        <w:pStyle w:val="4"/>
        <w:ind w:firstLine="480"/>
        <w:jc w:val="center"/>
        <w:rPr>
          <w:rFonts w:eastAsia="宋体"/>
          <w:sz w:val="21"/>
          <w:szCs w:val="21"/>
        </w:rPr>
      </w:pPr>
      <w:r>
        <w:fldChar w:fldCharType="begin"/>
      </w:r>
      <w:r>
        <w:instrText xml:space="preserve"> HYPERLINK \l "_Toc389579865" </w:instrText>
      </w:r>
      <w:r>
        <w:fldChar w:fldCharType="separate"/>
      </w:r>
      <w:r>
        <w:rPr>
          <w:rStyle w:val="9"/>
          <w:b/>
          <w:bCs/>
        </w:rPr>
        <w:t>5.4</w:t>
      </w:r>
      <w:r>
        <w:rPr>
          <w:rStyle w:val="9"/>
          <w:rFonts w:hint="eastAsia" w:cs="仿宋_GB2312"/>
          <w:b/>
          <w:bCs/>
        </w:rPr>
        <w:t>芯片杂交</w:t>
      </w:r>
      <w:r>
        <w:tab/>
      </w:r>
      <w:r>
        <w:fldChar w:fldCharType="begin"/>
      </w:r>
      <w:r>
        <w:instrText xml:space="preserve"> PAGEREF _Toc389579865 \h </w:instrText>
      </w:r>
      <w:r>
        <w:fldChar w:fldCharType="separate"/>
      </w:r>
      <w:r>
        <w:t>5</w:t>
      </w:r>
      <w:r>
        <w:fldChar w:fldCharType="end"/>
      </w:r>
      <w:r>
        <w:fldChar w:fldCharType="end"/>
      </w:r>
    </w:p>
    <w:p>
      <w:pPr>
        <w:pStyle w:val="4"/>
        <w:ind w:firstLine="480"/>
        <w:jc w:val="center"/>
        <w:rPr>
          <w:rFonts w:eastAsia="宋体"/>
          <w:sz w:val="21"/>
          <w:szCs w:val="21"/>
        </w:rPr>
      </w:pPr>
      <w:r>
        <w:fldChar w:fldCharType="begin"/>
      </w:r>
      <w:r>
        <w:instrText xml:space="preserve"> HYPERLINK \l "_Toc389579866" </w:instrText>
      </w:r>
      <w:r>
        <w:fldChar w:fldCharType="separate"/>
      </w:r>
      <w:r>
        <w:rPr>
          <w:rStyle w:val="9"/>
          <w:b/>
          <w:bCs/>
        </w:rPr>
        <w:t>5.5</w:t>
      </w:r>
      <w:r>
        <w:rPr>
          <w:rStyle w:val="9"/>
          <w:rFonts w:hint="eastAsia" w:cs="仿宋_GB2312"/>
          <w:b/>
          <w:bCs/>
        </w:rPr>
        <w:t>信号采集和数据分析</w:t>
      </w:r>
      <w:r>
        <w:tab/>
      </w:r>
      <w:r>
        <w:fldChar w:fldCharType="begin"/>
      </w:r>
      <w:r>
        <w:instrText xml:space="preserve"> PAGEREF _Toc389579866 \h </w:instrText>
      </w:r>
      <w:r>
        <w:fldChar w:fldCharType="separate"/>
      </w:r>
      <w:r>
        <w:t>5</w:t>
      </w:r>
      <w:r>
        <w:fldChar w:fldCharType="end"/>
      </w:r>
      <w:r>
        <w:fldChar w:fldCharType="end"/>
      </w:r>
    </w:p>
    <w:p>
      <w:pPr>
        <w:pStyle w:val="7"/>
        <w:jc w:val="center"/>
        <w:rPr>
          <w:rFonts w:eastAsia="宋体"/>
          <w:sz w:val="21"/>
          <w:szCs w:val="21"/>
        </w:rPr>
      </w:pPr>
      <w:r>
        <w:fldChar w:fldCharType="begin"/>
      </w:r>
      <w:r>
        <w:instrText xml:space="preserve"> HYPERLINK \l "_Toc389579867" </w:instrText>
      </w:r>
      <w:r>
        <w:fldChar w:fldCharType="separate"/>
      </w:r>
      <w:r>
        <w:rPr>
          <w:rStyle w:val="9"/>
          <w:b/>
          <w:bCs/>
        </w:rPr>
        <w:t>6.</w:t>
      </w:r>
      <w:r>
        <w:rPr>
          <w:rStyle w:val="9"/>
          <w:rFonts w:hint="eastAsia" w:cs="仿宋_GB2312"/>
          <w:b/>
          <w:bCs/>
        </w:rPr>
        <w:t>结果报告</w:t>
      </w:r>
      <w:r>
        <w:tab/>
      </w:r>
      <w:r>
        <w:fldChar w:fldCharType="begin"/>
      </w:r>
      <w:r>
        <w:instrText xml:space="preserve"> PAGEREF _Toc389579867 \h </w:instrText>
      </w:r>
      <w:r>
        <w:fldChar w:fldCharType="separate"/>
      </w:r>
      <w:r>
        <w:t>5</w:t>
      </w:r>
      <w:r>
        <w:fldChar w:fldCharType="end"/>
      </w:r>
      <w:r>
        <w:fldChar w:fldCharType="end"/>
      </w:r>
    </w:p>
    <w:p>
      <w:pPr>
        <w:pStyle w:val="7"/>
        <w:jc w:val="center"/>
        <w:rPr>
          <w:rFonts w:eastAsia="宋体"/>
          <w:sz w:val="21"/>
          <w:szCs w:val="21"/>
        </w:rPr>
      </w:pPr>
      <w:r>
        <w:fldChar w:fldCharType="begin"/>
      </w:r>
      <w:r>
        <w:instrText xml:space="preserve"> HYPERLINK \l "_Toc389579868" </w:instrText>
      </w:r>
      <w:r>
        <w:fldChar w:fldCharType="separate"/>
      </w:r>
      <w:r>
        <w:rPr>
          <w:rStyle w:val="9"/>
          <w:b/>
          <w:bCs/>
        </w:rPr>
        <w:t>7.</w:t>
      </w:r>
      <w:r>
        <w:rPr>
          <w:rStyle w:val="9"/>
          <w:rFonts w:hint="eastAsia" w:cs="仿宋_GB2312"/>
          <w:b/>
          <w:bCs/>
        </w:rPr>
        <w:t>质量控制</w:t>
      </w:r>
      <w:r>
        <w:tab/>
      </w:r>
      <w:r>
        <w:fldChar w:fldCharType="begin"/>
      </w:r>
      <w:r>
        <w:instrText xml:space="preserve"> PAGEREF _Toc389579868 \h </w:instrText>
      </w:r>
      <w:r>
        <w:fldChar w:fldCharType="separate"/>
      </w:r>
      <w:r>
        <w:t>5</w:t>
      </w:r>
      <w:r>
        <w:fldChar w:fldCharType="end"/>
      </w:r>
      <w:r>
        <w:fldChar w:fldCharType="end"/>
      </w:r>
    </w:p>
    <w:p>
      <w:pPr>
        <w:pStyle w:val="7"/>
        <w:jc w:val="center"/>
        <w:rPr>
          <w:rFonts w:eastAsia="宋体"/>
          <w:sz w:val="21"/>
          <w:szCs w:val="21"/>
        </w:rPr>
      </w:pPr>
      <w:r>
        <w:fldChar w:fldCharType="begin"/>
      </w:r>
      <w:r>
        <w:instrText xml:space="preserve"> HYPERLINK \l "_Toc389579869" </w:instrText>
      </w:r>
      <w:r>
        <w:fldChar w:fldCharType="separate"/>
      </w:r>
      <w:r>
        <w:rPr>
          <w:rStyle w:val="9"/>
          <w:b/>
          <w:bCs/>
        </w:rPr>
        <w:t>8.</w:t>
      </w:r>
      <w:r>
        <w:rPr>
          <w:rStyle w:val="9"/>
          <w:rFonts w:hint="eastAsia" w:cs="仿宋_GB2312"/>
          <w:b/>
          <w:bCs/>
        </w:rPr>
        <w:t>注意事项</w:t>
      </w:r>
      <w:r>
        <w:tab/>
      </w:r>
      <w:r>
        <w:fldChar w:fldCharType="begin"/>
      </w:r>
      <w:r>
        <w:instrText xml:space="preserve"> PAGEREF _Toc389579869 \h </w:instrText>
      </w:r>
      <w:r>
        <w:fldChar w:fldCharType="separate"/>
      </w:r>
      <w:r>
        <w:t>6</w:t>
      </w:r>
      <w:r>
        <w:fldChar w:fldCharType="end"/>
      </w:r>
      <w:r>
        <w:fldChar w:fldCharType="end"/>
      </w:r>
    </w:p>
    <w:p>
      <w:pPr>
        <w:pStyle w:val="7"/>
        <w:jc w:val="center"/>
        <w:sectPr>
          <w:headerReference r:id="rId4" w:type="first"/>
          <w:footerReference r:id="rId6" w:type="first"/>
          <w:headerReference r:id="rId3" w:type="even"/>
          <w:footerReference r:id="rId5" w:type="even"/>
          <w:pgSz w:w="11906" w:h="16838"/>
          <w:pgMar w:top="1440" w:right="1800" w:bottom="1440" w:left="1800" w:header="851" w:footer="992" w:gutter="0"/>
          <w:pgNumType w:start="1"/>
          <w:cols w:space="425" w:num="1"/>
          <w:docGrid w:type="lines" w:linePitch="326" w:charSpace="0"/>
        </w:sectPr>
      </w:pPr>
      <w:r>
        <w:fldChar w:fldCharType="begin"/>
      </w:r>
      <w:r>
        <w:instrText xml:space="preserve"> HYPERLINK \l "_Toc389579870" </w:instrText>
      </w:r>
      <w:r>
        <w:fldChar w:fldCharType="separate"/>
      </w:r>
      <w:r>
        <w:rPr>
          <w:rStyle w:val="9"/>
          <w:b/>
          <w:bCs/>
        </w:rPr>
        <w:t>9.</w:t>
      </w:r>
      <w:r>
        <w:rPr>
          <w:rStyle w:val="9"/>
          <w:rFonts w:hint="eastAsia" w:cs="仿宋_GB2312"/>
          <w:b/>
          <w:bCs/>
        </w:rPr>
        <w:t>参考文献</w:t>
      </w:r>
      <w:r>
        <w:tab/>
      </w:r>
      <w:r>
        <w:fldChar w:fldCharType="begin"/>
      </w:r>
      <w:r>
        <w:instrText xml:space="preserve"> PAGEREF _Toc389579870 \h </w:instrText>
      </w:r>
      <w:r>
        <w:fldChar w:fldCharType="separate"/>
      </w:r>
      <w:r>
        <w:t>7</w:t>
      </w:r>
      <w:r>
        <w:fldChar w:fldCharType="end"/>
      </w:r>
      <w:r>
        <w:fldChar w:fldCharType="end"/>
      </w:r>
      <w:r>
        <w:fldChar w:fldCharType="end"/>
      </w:r>
    </w:p>
    <w:p>
      <w:pPr>
        <w:pStyle w:val="2"/>
        <w:adjustRightInd w:val="0"/>
        <w:snapToGrid w:val="0"/>
        <w:spacing w:before="0" w:afterLines="50" w:line="360" w:lineRule="auto"/>
        <w:ind w:firstLine="0" w:firstLineChars="0"/>
        <w:rPr>
          <w:b/>
          <w:bCs/>
        </w:rPr>
      </w:pPr>
      <w:bookmarkStart w:id="16" w:name="_Toc363646701"/>
      <w:bookmarkStart w:id="17" w:name="_Toc371003905"/>
      <w:bookmarkStart w:id="18" w:name="_Toc389579853"/>
      <w:r>
        <w:rPr>
          <w:b/>
          <w:bCs/>
        </w:rPr>
        <w:t>1.</w:t>
      </w:r>
      <w:r>
        <w:rPr>
          <w:rFonts w:hint="eastAsia" w:cs="宋体"/>
          <w:b/>
          <w:bCs/>
        </w:rPr>
        <w:t>适用范围</w:t>
      </w:r>
      <w:bookmarkEnd w:id="16"/>
      <w:bookmarkEnd w:id="17"/>
      <w:bookmarkEnd w:id="18"/>
    </w:p>
    <w:p>
      <w:pPr>
        <w:adjustRightInd w:val="0"/>
        <w:snapToGrid w:val="0"/>
        <w:spacing w:afterLines="50"/>
        <w:ind w:firstLine="480"/>
        <w:rPr>
          <w:rFonts w:eastAsia="宋体"/>
          <w:color w:val="000000"/>
        </w:rPr>
      </w:pPr>
      <w:r>
        <w:rPr>
          <w:rFonts w:hint="eastAsia" w:eastAsia="宋体" w:cs="宋体"/>
          <w:color w:val="000000"/>
        </w:rPr>
        <w:t>本规范适用于医疗机构开展微阵列基因芯片个体化医学检测服务。</w:t>
      </w:r>
    </w:p>
    <w:p>
      <w:pPr>
        <w:adjustRightInd w:val="0"/>
        <w:snapToGrid w:val="0"/>
        <w:spacing w:afterLines="50"/>
        <w:ind w:firstLine="480"/>
        <w:rPr>
          <w:rFonts w:eastAsia="宋体"/>
        </w:rPr>
      </w:pPr>
      <w:r>
        <w:rPr>
          <w:rFonts w:hint="eastAsia" w:eastAsia="宋体" w:cs="宋体"/>
        </w:rPr>
        <w:t>检测服务需遵循国家卫生主管部门或各专业协会发布的疾病诊疗指南或国家卫生计生委医政医管局个体化医学检测技术专家委员会发布的个体化医学检测指南。</w:t>
      </w:r>
    </w:p>
    <w:p>
      <w:pPr>
        <w:adjustRightInd w:val="0"/>
        <w:snapToGrid w:val="0"/>
        <w:spacing w:afterLines="50"/>
        <w:ind w:firstLine="480"/>
        <w:rPr>
          <w:rFonts w:eastAsia="宋体"/>
        </w:rPr>
      </w:pPr>
    </w:p>
    <w:p>
      <w:pPr>
        <w:pStyle w:val="2"/>
        <w:adjustRightInd w:val="0"/>
        <w:snapToGrid w:val="0"/>
        <w:spacing w:before="0" w:afterLines="50" w:line="360" w:lineRule="auto"/>
        <w:ind w:firstLine="0" w:firstLineChars="0"/>
        <w:rPr>
          <w:b/>
          <w:bCs/>
        </w:rPr>
      </w:pPr>
      <w:bookmarkStart w:id="19" w:name="_Toc363646703"/>
      <w:bookmarkStart w:id="20" w:name="_Toc371003906"/>
      <w:bookmarkStart w:id="21" w:name="_Toc389579854"/>
      <w:r>
        <w:rPr>
          <w:b/>
          <w:bCs/>
        </w:rPr>
        <w:t>2.</w:t>
      </w:r>
      <w:r>
        <w:rPr>
          <w:rFonts w:hint="eastAsia" w:cs="宋体"/>
          <w:b/>
          <w:bCs/>
        </w:rPr>
        <w:t>声明</w:t>
      </w:r>
      <w:r>
        <w:rPr>
          <w:b/>
          <w:bCs/>
        </w:rPr>
        <w:t>/</w:t>
      </w:r>
      <w:r>
        <w:rPr>
          <w:rFonts w:hint="eastAsia" w:cs="宋体"/>
          <w:b/>
          <w:bCs/>
        </w:rPr>
        <w:t>警告</w:t>
      </w:r>
      <w:bookmarkEnd w:id="19"/>
      <w:bookmarkEnd w:id="20"/>
      <w:bookmarkEnd w:id="21"/>
    </w:p>
    <w:p>
      <w:pPr>
        <w:adjustRightInd w:val="0"/>
        <w:snapToGrid w:val="0"/>
        <w:spacing w:afterLines="50"/>
        <w:ind w:firstLine="480"/>
        <w:rPr>
          <w:rFonts w:eastAsia="宋体"/>
          <w:color w:val="000000"/>
        </w:rPr>
      </w:pPr>
      <w:r>
        <w:rPr>
          <w:rFonts w:hint="eastAsia" w:eastAsia="宋体" w:cs="宋体"/>
        </w:rPr>
        <w:t>本规范</w:t>
      </w:r>
      <w:r>
        <w:rPr>
          <w:rFonts w:hint="eastAsia" w:eastAsia="宋体" w:cs="宋体"/>
          <w:color w:val="000000"/>
        </w:rPr>
        <w:t>所称微阵列基因芯片诊断技术是指从医疗机构获得的临床样本中，提取核酸（</w:t>
      </w:r>
      <w:r>
        <w:rPr>
          <w:rFonts w:eastAsia="宋体"/>
          <w:color w:val="000000"/>
        </w:rPr>
        <w:t>DNA</w:t>
      </w:r>
      <w:r>
        <w:rPr>
          <w:rFonts w:hint="eastAsia" w:eastAsia="宋体" w:cs="宋体"/>
          <w:color w:val="000000"/>
        </w:rPr>
        <w:t>或</w:t>
      </w:r>
      <w:r>
        <w:rPr>
          <w:rFonts w:eastAsia="宋体"/>
          <w:color w:val="000000"/>
        </w:rPr>
        <w:t>RNA</w:t>
      </w:r>
      <w:r>
        <w:rPr>
          <w:rFonts w:hint="eastAsia" w:eastAsia="宋体" w:cs="宋体"/>
          <w:color w:val="000000"/>
        </w:rPr>
        <w:t>），进行必要的扩增和标记，标记后的靶标与基因芯片进行分子杂交，通过基因芯片扫描仪器获得基因芯片杂交的图像与数据，经计算机程序分析，并给出检测报告的全过程。</w:t>
      </w:r>
    </w:p>
    <w:p>
      <w:pPr>
        <w:adjustRightInd w:val="0"/>
        <w:snapToGrid w:val="0"/>
        <w:spacing w:afterLines="50"/>
        <w:ind w:firstLine="480"/>
        <w:rPr>
          <w:rFonts w:eastAsia="宋体"/>
        </w:rPr>
      </w:pPr>
    </w:p>
    <w:p>
      <w:pPr>
        <w:pStyle w:val="2"/>
        <w:adjustRightInd w:val="0"/>
        <w:snapToGrid w:val="0"/>
        <w:spacing w:before="0" w:afterLines="50" w:line="360" w:lineRule="auto"/>
        <w:ind w:firstLine="0" w:firstLineChars="0"/>
        <w:rPr>
          <w:b/>
          <w:bCs/>
        </w:rPr>
      </w:pPr>
      <w:bookmarkStart w:id="22" w:name="_Toc371003907"/>
      <w:bookmarkStart w:id="23" w:name="_Toc363646704"/>
      <w:bookmarkStart w:id="24" w:name="_Toc389579855"/>
      <w:r>
        <w:rPr>
          <w:b/>
          <w:bCs/>
        </w:rPr>
        <w:t>3.</w:t>
      </w:r>
      <w:r>
        <w:rPr>
          <w:rFonts w:hint="eastAsia" w:cs="宋体"/>
          <w:b/>
          <w:bCs/>
        </w:rPr>
        <w:t>术语和定义</w:t>
      </w:r>
      <w:bookmarkEnd w:id="22"/>
      <w:bookmarkEnd w:id="23"/>
      <w:bookmarkEnd w:id="24"/>
    </w:p>
    <w:p>
      <w:pPr>
        <w:adjustRightInd w:val="0"/>
        <w:snapToGrid w:val="0"/>
        <w:spacing w:afterLines="50"/>
        <w:ind w:firstLine="480"/>
        <w:rPr>
          <w:rFonts w:eastAsia="宋体"/>
        </w:rPr>
      </w:pPr>
      <w:r>
        <w:rPr>
          <w:rFonts w:hint="eastAsia" w:eastAsia="宋体" w:cs="宋体"/>
        </w:rPr>
        <w:t>（</w:t>
      </w:r>
      <w:r>
        <w:rPr>
          <w:rFonts w:eastAsia="宋体"/>
        </w:rPr>
        <w:t>1</w:t>
      </w:r>
      <w:r>
        <w:rPr>
          <w:rFonts w:hint="eastAsia" w:eastAsia="宋体" w:cs="宋体"/>
        </w:rPr>
        <w:t>）聚合酶链反应</w:t>
      </w:r>
      <w:r>
        <w:rPr>
          <w:rFonts w:eastAsia="宋体"/>
        </w:rPr>
        <w:t xml:space="preserve"> polymerase chain reaction</w:t>
      </w:r>
      <w:r>
        <w:rPr>
          <w:rFonts w:hint="eastAsia" w:eastAsia="宋体" w:cs="宋体"/>
        </w:rPr>
        <w:t>（</w:t>
      </w:r>
      <w:r>
        <w:rPr>
          <w:rFonts w:eastAsia="宋体"/>
        </w:rPr>
        <w:t>PCR</w:t>
      </w:r>
      <w:r>
        <w:rPr>
          <w:rFonts w:hint="eastAsia" w:eastAsia="宋体" w:cs="宋体"/>
        </w:rPr>
        <w:t>）</w:t>
      </w:r>
    </w:p>
    <w:p>
      <w:pPr>
        <w:adjustRightInd w:val="0"/>
        <w:snapToGrid w:val="0"/>
        <w:spacing w:afterLines="50"/>
        <w:ind w:firstLine="480"/>
        <w:rPr>
          <w:rFonts w:eastAsia="宋体"/>
        </w:rPr>
      </w:pPr>
      <w:r>
        <w:rPr>
          <w:rFonts w:hint="eastAsia" w:eastAsia="宋体" w:cs="宋体"/>
        </w:rPr>
        <w:t>聚合酶链反应或多聚酶链反应是一种对特定的</w:t>
      </w:r>
      <w:r>
        <w:rPr>
          <w:rFonts w:eastAsia="宋体"/>
        </w:rPr>
        <w:t>DNA</w:t>
      </w:r>
      <w:r>
        <w:rPr>
          <w:rFonts w:hint="eastAsia" w:eastAsia="宋体" w:cs="宋体"/>
        </w:rPr>
        <w:t>或</w:t>
      </w:r>
      <w:r>
        <w:rPr>
          <w:rFonts w:eastAsia="宋体"/>
        </w:rPr>
        <w:t>RNA</w:t>
      </w:r>
      <w:r>
        <w:rPr>
          <w:rFonts w:hint="eastAsia" w:eastAsia="宋体" w:cs="宋体"/>
        </w:rPr>
        <w:t>片段在体外进行快速扩增的方法。</w:t>
      </w:r>
    </w:p>
    <w:p>
      <w:pPr>
        <w:adjustRightInd w:val="0"/>
        <w:snapToGrid w:val="0"/>
        <w:spacing w:afterLines="50"/>
        <w:ind w:firstLine="480"/>
        <w:rPr>
          <w:rFonts w:eastAsia="宋体"/>
        </w:rPr>
      </w:pPr>
      <w:r>
        <w:rPr>
          <w:rFonts w:hint="eastAsia" w:eastAsia="宋体" w:cs="宋体"/>
        </w:rPr>
        <w:t>（</w:t>
      </w:r>
      <w:r>
        <w:rPr>
          <w:rFonts w:eastAsia="宋体"/>
        </w:rPr>
        <w:t>2</w:t>
      </w:r>
      <w:r>
        <w:rPr>
          <w:rFonts w:hint="eastAsia" w:eastAsia="宋体" w:cs="宋体"/>
        </w:rPr>
        <w:t>）杂交</w:t>
      </w:r>
      <w:r>
        <w:rPr>
          <w:rFonts w:eastAsia="宋体"/>
        </w:rPr>
        <w:t xml:space="preserve"> hybridization</w:t>
      </w:r>
    </w:p>
    <w:p>
      <w:pPr>
        <w:adjustRightInd w:val="0"/>
        <w:snapToGrid w:val="0"/>
        <w:spacing w:afterLines="50"/>
        <w:ind w:firstLine="480"/>
        <w:rPr>
          <w:rFonts w:eastAsia="宋体"/>
        </w:rPr>
      </w:pPr>
      <w:r>
        <w:rPr>
          <w:rFonts w:hint="eastAsia" w:eastAsia="宋体" w:cs="宋体"/>
        </w:rPr>
        <w:t>具有一定同源序列的两条核酸单链（</w:t>
      </w:r>
      <w:r>
        <w:rPr>
          <w:rFonts w:eastAsia="宋体"/>
        </w:rPr>
        <w:t>DNA</w:t>
      </w:r>
      <w:r>
        <w:rPr>
          <w:rFonts w:hint="eastAsia" w:eastAsia="宋体" w:cs="宋体"/>
        </w:rPr>
        <w:t>或</w:t>
      </w:r>
      <w:r>
        <w:rPr>
          <w:rFonts w:eastAsia="宋体"/>
        </w:rPr>
        <w:t>RNA</w:t>
      </w:r>
      <w:r>
        <w:rPr>
          <w:rFonts w:hint="eastAsia" w:eastAsia="宋体" w:cs="宋体"/>
        </w:rPr>
        <w:t>）可以通过氢键的方式，按碱基互补配对原则相结合。</w:t>
      </w:r>
    </w:p>
    <w:p>
      <w:pPr>
        <w:adjustRightInd w:val="0"/>
        <w:snapToGrid w:val="0"/>
        <w:spacing w:afterLines="50"/>
        <w:ind w:firstLine="480"/>
        <w:rPr>
          <w:rFonts w:eastAsia="宋体"/>
        </w:rPr>
      </w:pPr>
      <w:r>
        <w:rPr>
          <w:rFonts w:hint="eastAsia" w:eastAsia="宋体" w:cs="宋体"/>
        </w:rPr>
        <w:t>（</w:t>
      </w:r>
      <w:r>
        <w:rPr>
          <w:rFonts w:eastAsia="宋体"/>
        </w:rPr>
        <w:t>3</w:t>
      </w:r>
      <w:r>
        <w:rPr>
          <w:rFonts w:hint="eastAsia" w:eastAsia="宋体" w:cs="宋体"/>
        </w:rPr>
        <w:t>）突变</w:t>
      </w:r>
      <w:r>
        <w:rPr>
          <w:rFonts w:eastAsia="宋体"/>
        </w:rPr>
        <w:t xml:space="preserve"> mutation</w:t>
      </w:r>
    </w:p>
    <w:p>
      <w:pPr>
        <w:adjustRightInd w:val="0"/>
        <w:snapToGrid w:val="0"/>
        <w:spacing w:afterLines="50"/>
        <w:ind w:firstLine="480"/>
        <w:rPr>
          <w:rFonts w:eastAsia="宋体"/>
        </w:rPr>
      </w:pPr>
      <w:r>
        <w:rPr>
          <w:rFonts w:hint="eastAsia" w:eastAsia="宋体" w:cs="宋体"/>
        </w:rPr>
        <w:t>是细胞中</w:t>
      </w:r>
      <w:r>
        <w:rPr>
          <w:rFonts w:eastAsia="宋体"/>
        </w:rPr>
        <w:t>DNA</w:t>
      </w:r>
      <w:r>
        <w:rPr>
          <w:rFonts w:hint="eastAsia" w:eastAsia="宋体" w:cs="宋体"/>
        </w:rPr>
        <w:t>核苷酸序列发生了稳定的可遗传的改变。</w:t>
      </w:r>
    </w:p>
    <w:p>
      <w:pPr>
        <w:adjustRightInd w:val="0"/>
        <w:snapToGrid w:val="0"/>
        <w:spacing w:afterLines="50"/>
        <w:ind w:firstLine="480"/>
        <w:rPr>
          <w:rFonts w:eastAsia="宋体"/>
        </w:rPr>
      </w:pPr>
      <w:r>
        <w:rPr>
          <w:rFonts w:hint="eastAsia" w:eastAsia="宋体" w:cs="宋体"/>
        </w:rPr>
        <w:t>（</w:t>
      </w:r>
      <w:r>
        <w:rPr>
          <w:rFonts w:eastAsia="宋体"/>
        </w:rPr>
        <w:t>4</w:t>
      </w:r>
      <w:r>
        <w:rPr>
          <w:rFonts w:hint="eastAsia" w:eastAsia="宋体" w:cs="宋体"/>
        </w:rPr>
        <w:t>）点重复</w:t>
      </w:r>
      <w:r>
        <w:rPr>
          <w:rFonts w:eastAsia="宋体"/>
        </w:rPr>
        <w:t xml:space="preserve"> spot replicates</w:t>
      </w:r>
    </w:p>
    <w:p>
      <w:pPr>
        <w:adjustRightInd w:val="0"/>
        <w:snapToGrid w:val="0"/>
        <w:spacing w:afterLines="50"/>
        <w:ind w:firstLine="480"/>
        <w:rPr>
          <w:rFonts w:eastAsia="宋体"/>
        </w:rPr>
      </w:pPr>
      <w:r>
        <w:rPr>
          <w:rFonts w:hint="eastAsia" w:eastAsia="宋体" w:cs="宋体"/>
        </w:rPr>
        <w:t>每种探针在芯片上每个阵列中的重复次数。</w:t>
      </w:r>
    </w:p>
    <w:p>
      <w:pPr>
        <w:adjustRightInd w:val="0"/>
        <w:snapToGrid w:val="0"/>
        <w:spacing w:afterLines="50"/>
        <w:ind w:firstLine="480"/>
        <w:rPr>
          <w:rFonts w:eastAsia="宋体"/>
        </w:rPr>
      </w:pPr>
      <w:r>
        <w:rPr>
          <w:rFonts w:hint="eastAsia" w:eastAsia="宋体" w:cs="宋体"/>
        </w:rPr>
        <w:t>（</w:t>
      </w:r>
      <w:r>
        <w:rPr>
          <w:rFonts w:eastAsia="宋体"/>
        </w:rPr>
        <w:t>5</w:t>
      </w:r>
      <w:r>
        <w:rPr>
          <w:rFonts w:hint="eastAsia" w:eastAsia="宋体" w:cs="宋体"/>
        </w:rPr>
        <w:t>）探针</w:t>
      </w:r>
      <w:r>
        <w:rPr>
          <w:rFonts w:eastAsia="宋体"/>
        </w:rPr>
        <w:t xml:space="preserve"> probe</w:t>
      </w:r>
    </w:p>
    <w:p>
      <w:pPr>
        <w:adjustRightInd w:val="0"/>
        <w:snapToGrid w:val="0"/>
        <w:spacing w:afterLines="50"/>
        <w:ind w:firstLine="480"/>
        <w:rPr>
          <w:rFonts w:eastAsia="宋体"/>
        </w:rPr>
      </w:pPr>
      <w:r>
        <w:rPr>
          <w:rFonts w:hint="eastAsia" w:eastAsia="宋体" w:cs="宋体"/>
        </w:rPr>
        <w:t>能够与靶标特异性结合的分子，多数情况下探针固定在基片上。</w:t>
      </w:r>
    </w:p>
    <w:p>
      <w:pPr>
        <w:adjustRightInd w:val="0"/>
        <w:snapToGrid w:val="0"/>
        <w:spacing w:afterLines="50"/>
        <w:ind w:firstLine="480"/>
        <w:rPr>
          <w:rFonts w:eastAsia="宋体"/>
        </w:rPr>
      </w:pPr>
      <w:r>
        <w:rPr>
          <w:rFonts w:hint="eastAsia" w:eastAsia="宋体" w:cs="宋体"/>
        </w:rPr>
        <w:t>（</w:t>
      </w:r>
      <w:r>
        <w:rPr>
          <w:rFonts w:eastAsia="宋体"/>
        </w:rPr>
        <w:t>6</w:t>
      </w:r>
      <w:r>
        <w:rPr>
          <w:rFonts w:hint="eastAsia" w:eastAsia="宋体" w:cs="宋体"/>
        </w:rPr>
        <w:t>）质控探针</w:t>
      </w:r>
      <w:r>
        <w:rPr>
          <w:rFonts w:eastAsia="宋体"/>
        </w:rPr>
        <w:t>quality control probe</w:t>
      </w:r>
    </w:p>
    <w:p>
      <w:pPr>
        <w:adjustRightInd w:val="0"/>
        <w:snapToGrid w:val="0"/>
        <w:spacing w:afterLines="50"/>
        <w:ind w:firstLine="480"/>
        <w:rPr>
          <w:rFonts w:eastAsia="宋体"/>
        </w:rPr>
      </w:pPr>
      <w:r>
        <w:rPr>
          <w:rFonts w:hint="eastAsia" w:eastAsia="宋体" w:cs="宋体"/>
        </w:rPr>
        <w:t>用来监控芯片表面化学修饰、样品制备和反应过程等环节的质量的探针。该探针只与反应体系中外加的带有可检测的标记物的靶标发生特异性结合，故可用于监控探针和基片的结合质量及探针和靶标结合质量等整个反应过程的质量。</w:t>
      </w:r>
    </w:p>
    <w:p>
      <w:pPr>
        <w:adjustRightInd w:val="0"/>
        <w:snapToGrid w:val="0"/>
        <w:spacing w:afterLines="50"/>
        <w:ind w:firstLine="480"/>
        <w:rPr>
          <w:rFonts w:eastAsia="宋体"/>
        </w:rPr>
      </w:pPr>
      <w:r>
        <w:rPr>
          <w:rFonts w:hint="eastAsia" w:eastAsia="宋体" w:cs="宋体"/>
        </w:rPr>
        <w:t>（</w:t>
      </w:r>
      <w:r>
        <w:rPr>
          <w:rFonts w:eastAsia="宋体"/>
        </w:rPr>
        <w:t>7</w:t>
      </w:r>
      <w:r>
        <w:rPr>
          <w:rFonts w:hint="eastAsia" w:eastAsia="宋体" w:cs="宋体"/>
        </w:rPr>
        <w:t>）表面化学修饰质控探针</w:t>
      </w:r>
      <w:r>
        <w:rPr>
          <w:rFonts w:eastAsia="宋体"/>
        </w:rPr>
        <w:t xml:space="preserve"> surface modification control probe</w:t>
      </w:r>
    </w:p>
    <w:p>
      <w:pPr>
        <w:adjustRightInd w:val="0"/>
        <w:snapToGrid w:val="0"/>
        <w:spacing w:afterLines="50"/>
        <w:ind w:firstLine="480"/>
        <w:rPr>
          <w:rFonts w:eastAsia="宋体"/>
        </w:rPr>
      </w:pPr>
      <w:r>
        <w:rPr>
          <w:rFonts w:hint="eastAsia" w:eastAsia="宋体" w:cs="宋体"/>
        </w:rPr>
        <w:t>微阵列基因芯片上用来质控基片的表面化学修饰质量的探针。</w:t>
      </w:r>
    </w:p>
    <w:p>
      <w:pPr>
        <w:adjustRightInd w:val="0"/>
        <w:snapToGrid w:val="0"/>
        <w:spacing w:afterLines="50"/>
        <w:ind w:firstLine="480"/>
        <w:rPr>
          <w:rFonts w:eastAsia="宋体"/>
        </w:rPr>
      </w:pPr>
      <w:r>
        <w:rPr>
          <w:rFonts w:hint="eastAsia" w:eastAsia="宋体" w:cs="宋体"/>
        </w:rPr>
        <w:t>（</w:t>
      </w:r>
      <w:r>
        <w:rPr>
          <w:rFonts w:eastAsia="宋体"/>
        </w:rPr>
        <w:t>8</w:t>
      </w:r>
      <w:r>
        <w:rPr>
          <w:rFonts w:hint="eastAsia" w:eastAsia="宋体" w:cs="宋体"/>
        </w:rPr>
        <w:t>）内标探针</w:t>
      </w:r>
      <w:r>
        <w:rPr>
          <w:rFonts w:eastAsia="宋体"/>
        </w:rPr>
        <w:t xml:space="preserve"> internal control probe</w:t>
      </w:r>
    </w:p>
    <w:p>
      <w:pPr>
        <w:adjustRightInd w:val="0"/>
        <w:snapToGrid w:val="0"/>
        <w:spacing w:afterLines="50"/>
        <w:ind w:firstLine="480"/>
        <w:rPr>
          <w:rFonts w:eastAsia="宋体"/>
        </w:rPr>
      </w:pPr>
      <w:r>
        <w:rPr>
          <w:rFonts w:hint="eastAsia" w:eastAsia="宋体" w:cs="宋体"/>
        </w:rPr>
        <w:t>微阵列基因芯片上用来质控检测过程中核酸提取、扩增反应、芯片杂交反应等过程是否正常的探针。</w:t>
      </w:r>
    </w:p>
    <w:p>
      <w:pPr>
        <w:adjustRightInd w:val="0"/>
        <w:snapToGrid w:val="0"/>
        <w:spacing w:afterLines="50"/>
        <w:ind w:firstLine="480"/>
        <w:rPr>
          <w:rFonts w:eastAsia="宋体"/>
        </w:rPr>
      </w:pPr>
      <w:r>
        <w:rPr>
          <w:rFonts w:hint="eastAsia" w:eastAsia="宋体" w:cs="宋体"/>
        </w:rPr>
        <w:t>（</w:t>
      </w:r>
      <w:r>
        <w:rPr>
          <w:rFonts w:eastAsia="宋体"/>
        </w:rPr>
        <w:t>9</w:t>
      </w:r>
      <w:r>
        <w:rPr>
          <w:rFonts w:hint="eastAsia" w:eastAsia="宋体" w:cs="宋体"/>
        </w:rPr>
        <w:t>）阳性质控探针</w:t>
      </w:r>
      <w:r>
        <w:rPr>
          <w:rFonts w:eastAsia="宋体"/>
        </w:rPr>
        <w:t xml:space="preserve"> positive control probe</w:t>
      </w:r>
    </w:p>
    <w:p>
      <w:pPr>
        <w:adjustRightInd w:val="0"/>
        <w:snapToGrid w:val="0"/>
        <w:spacing w:afterLines="50"/>
        <w:ind w:firstLine="480"/>
        <w:rPr>
          <w:rFonts w:eastAsia="宋体"/>
        </w:rPr>
      </w:pPr>
      <w:r>
        <w:rPr>
          <w:rFonts w:hint="eastAsia" w:eastAsia="宋体" w:cs="宋体"/>
        </w:rPr>
        <w:t>设置在微阵列基因芯片上的质控探针，无论被检测样品的结果如何，均能产生可以被识别的信号。</w:t>
      </w:r>
    </w:p>
    <w:p>
      <w:pPr>
        <w:adjustRightInd w:val="0"/>
        <w:snapToGrid w:val="0"/>
        <w:spacing w:afterLines="50"/>
        <w:ind w:firstLine="480"/>
        <w:rPr>
          <w:rFonts w:eastAsia="宋体"/>
        </w:rPr>
      </w:pPr>
      <w:r>
        <w:rPr>
          <w:rFonts w:hint="eastAsia" w:eastAsia="宋体" w:cs="宋体"/>
        </w:rPr>
        <w:t>（</w:t>
      </w:r>
      <w:r>
        <w:rPr>
          <w:rFonts w:eastAsia="宋体"/>
        </w:rPr>
        <w:t>10</w:t>
      </w:r>
      <w:r>
        <w:rPr>
          <w:rFonts w:hint="eastAsia" w:eastAsia="宋体" w:cs="宋体"/>
        </w:rPr>
        <w:t>）阴性质控探针</w:t>
      </w:r>
      <w:r>
        <w:rPr>
          <w:rFonts w:eastAsia="宋体"/>
        </w:rPr>
        <w:t xml:space="preserve"> negative control probe</w:t>
      </w:r>
    </w:p>
    <w:p>
      <w:pPr>
        <w:adjustRightInd w:val="0"/>
        <w:snapToGrid w:val="0"/>
        <w:spacing w:afterLines="50"/>
        <w:ind w:firstLine="480"/>
        <w:rPr>
          <w:rFonts w:eastAsia="宋体"/>
        </w:rPr>
      </w:pPr>
      <w:r>
        <w:rPr>
          <w:rFonts w:hint="eastAsia" w:eastAsia="宋体" w:cs="宋体"/>
        </w:rPr>
        <w:t>设置在微阵列基因芯片上的质控探针，无论被检测样品的结果如何，均不会产生可被识别的信号。</w:t>
      </w:r>
    </w:p>
    <w:p>
      <w:pPr>
        <w:adjustRightInd w:val="0"/>
        <w:snapToGrid w:val="0"/>
        <w:spacing w:afterLines="50"/>
        <w:ind w:firstLine="480"/>
        <w:rPr>
          <w:rFonts w:eastAsia="宋体"/>
        </w:rPr>
      </w:pPr>
    </w:p>
    <w:p>
      <w:pPr>
        <w:pStyle w:val="2"/>
        <w:adjustRightInd w:val="0"/>
        <w:snapToGrid w:val="0"/>
        <w:spacing w:before="0" w:afterLines="50" w:line="360" w:lineRule="auto"/>
        <w:ind w:firstLine="0" w:firstLineChars="0"/>
        <w:rPr>
          <w:b/>
          <w:bCs/>
        </w:rPr>
      </w:pPr>
      <w:bookmarkStart w:id="25" w:name="_Toc371003908"/>
      <w:bookmarkStart w:id="26" w:name="_Toc389579856"/>
      <w:bookmarkStart w:id="27" w:name="_Toc363646705"/>
      <w:r>
        <w:rPr>
          <w:b/>
          <w:bCs/>
        </w:rPr>
        <w:t>4.</w:t>
      </w:r>
      <w:r>
        <w:rPr>
          <w:rFonts w:hint="eastAsia" w:cs="宋体"/>
          <w:b/>
          <w:bCs/>
        </w:rPr>
        <w:t>样本处理</w:t>
      </w:r>
      <w:bookmarkEnd w:id="25"/>
      <w:bookmarkEnd w:id="26"/>
      <w:bookmarkEnd w:id="27"/>
    </w:p>
    <w:p>
      <w:pPr>
        <w:pStyle w:val="3"/>
        <w:adjustRightInd w:val="0"/>
        <w:snapToGrid w:val="0"/>
        <w:spacing w:before="0" w:beforeAutospacing="0" w:afterLines="50" w:afterAutospacing="0" w:line="360" w:lineRule="auto"/>
        <w:ind w:firstLine="0" w:firstLineChars="0"/>
        <w:rPr>
          <w:rFonts w:eastAsia="宋体"/>
          <w:b/>
          <w:bCs/>
        </w:rPr>
      </w:pPr>
      <w:bookmarkStart w:id="28" w:name="_Toc389579857"/>
      <w:r>
        <w:rPr>
          <w:rFonts w:eastAsia="宋体"/>
          <w:b/>
          <w:bCs/>
        </w:rPr>
        <w:t>4.1</w:t>
      </w:r>
      <w:r>
        <w:rPr>
          <w:rFonts w:hint="eastAsia" w:eastAsia="宋体" w:cs="宋体"/>
          <w:b/>
          <w:bCs/>
        </w:rPr>
        <w:t>样本类型</w:t>
      </w:r>
      <w:bookmarkEnd w:id="28"/>
    </w:p>
    <w:p>
      <w:pPr>
        <w:adjustRightInd w:val="0"/>
        <w:snapToGrid w:val="0"/>
        <w:spacing w:afterLines="50"/>
        <w:ind w:firstLine="480"/>
        <w:rPr>
          <w:rFonts w:eastAsia="宋体"/>
        </w:rPr>
      </w:pPr>
      <w:r>
        <w:rPr>
          <w:rFonts w:hint="eastAsia" w:eastAsia="宋体" w:cs="宋体"/>
        </w:rPr>
        <w:t>样本类型可以是全血、滤纸干血斑、新鲜组织、穿刺组织、冰冻组织、石蜡包埋组织、脑脊液、骨髓、羊水、毛囊、精液、粪便、尿液、脱落细胞、培养细胞、其他体液（如痰液）等。</w:t>
      </w:r>
    </w:p>
    <w:p>
      <w:pPr>
        <w:pStyle w:val="3"/>
        <w:adjustRightInd w:val="0"/>
        <w:snapToGrid w:val="0"/>
        <w:spacing w:before="0" w:beforeAutospacing="0" w:afterLines="50" w:afterAutospacing="0" w:line="360" w:lineRule="auto"/>
        <w:ind w:firstLine="0" w:firstLineChars="0"/>
        <w:rPr>
          <w:rFonts w:eastAsia="宋体"/>
          <w:b/>
          <w:bCs/>
        </w:rPr>
      </w:pPr>
      <w:bookmarkStart w:id="29" w:name="_Toc389579858"/>
      <w:r>
        <w:rPr>
          <w:rFonts w:eastAsia="宋体"/>
          <w:b/>
          <w:bCs/>
        </w:rPr>
        <w:t>4.2</w:t>
      </w:r>
      <w:r>
        <w:rPr>
          <w:rFonts w:hint="eastAsia" w:eastAsia="宋体" w:cs="宋体"/>
          <w:b/>
          <w:bCs/>
        </w:rPr>
        <w:t>样本采集、运输与保存</w:t>
      </w:r>
      <w:bookmarkEnd w:id="29"/>
    </w:p>
    <w:p>
      <w:pPr>
        <w:adjustRightInd w:val="0"/>
        <w:snapToGrid w:val="0"/>
        <w:spacing w:afterLines="50"/>
        <w:ind w:firstLine="480"/>
        <w:rPr>
          <w:rFonts w:eastAsia="宋体"/>
        </w:rPr>
      </w:pPr>
      <w:r>
        <w:rPr>
          <w:rFonts w:hint="eastAsia" w:eastAsia="宋体" w:cs="宋体"/>
        </w:rPr>
        <w:t>样本采集、运输与保存须遵循《全国临床检验操作规程</w:t>
      </w:r>
      <w:r>
        <w:rPr>
          <w:rFonts w:eastAsia="宋体"/>
        </w:rPr>
        <w:t>(</w:t>
      </w:r>
      <w:r>
        <w:rPr>
          <w:rFonts w:hint="eastAsia" w:eastAsia="宋体" w:cs="宋体"/>
        </w:rPr>
        <w:t>第四版</w:t>
      </w:r>
      <w:r>
        <w:rPr>
          <w:rFonts w:eastAsia="宋体"/>
        </w:rPr>
        <w:t>)</w:t>
      </w:r>
      <w:r>
        <w:rPr>
          <w:rFonts w:hint="eastAsia" w:eastAsia="宋体" w:cs="宋体"/>
        </w:rPr>
        <w:t>》和《个体化医学检测质量保证指南》，其中新生儿滤纸干血斑采集须符合《新生儿遗传疾病筛查血片采集技术规范》。样本采集种类和采集量，如使用经</w:t>
      </w:r>
      <w:r>
        <w:rPr>
          <w:rFonts w:eastAsia="宋体"/>
        </w:rPr>
        <w:t>CFDA</w:t>
      </w:r>
      <w:r>
        <w:rPr>
          <w:rFonts w:hint="eastAsia" w:eastAsia="宋体" w:cs="宋体"/>
        </w:rPr>
        <w:t>批准的商品试剂，须按照所使用的商品微阵列基因芯片检测试剂盒说明书规定。</w:t>
      </w:r>
    </w:p>
    <w:p>
      <w:pPr>
        <w:adjustRightInd w:val="0"/>
        <w:snapToGrid w:val="0"/>
        <w:spacing w:afterLines="50"/>
        <w:ind w:firstLine="480"/>
        <w:rPr>
          <w:rFonts w:eastAsia="宋体"/>
        </w:rPr>
      </w:pPr>
      <w:r>
        <w:rPr>
          <w:rFonts w:hint="eastAsia" w:eastAsia="宋体" w:cs="宋体"/>
        </w:rPr>
        <w:t>样本一经采集，则应尽可能快的送至检测实验室。对于提取</w:t>
      </w:r>
      <w:r>
        <w:rPr>
          <w:rFonts w:eastAsia="宋体"/>
        </w:rPr>
        <w:t>DNA</w:t>
      </w:r>
      <w:r>
        <w:rPr>
          <w:rFonts w:hint="eastAsia" w:eastAsia="宋体" w:cs="宋体"/>
        </w:rPr>
        <w:t>的样本，可以在室温（</w:t>
      </w:r>
      <w:r>
        <w:rPr>
          <w:rFonts w:eastAsia="宋体"/>
        </w:rPr>
        <w:t>18</w:t>
      </w:r>
      <w:r>
        <w:rPr>
          <w:rFonts w:hint="eastAsia" w:ascii="MS Mincho" w:hAnsi="MS Mincho" w:eastAsia="MS Mincho" w:cs="MS Mincho"/>
        </w:rPr>
        <w:t>〜</w:t>
      </w:r>
      <w:r>
        <w:rPr>
          <w:rFonts w:eastAsia="Times New Roman"/>
        </w:rPr>
        <w:t>25</w:t>
      </w:r>
      <w:r>
        <w:rPr>
          <w:rFonts w:hint="eastAsia" w:ascii="宋体" w:hAnsi="宋体" w:eastAsia="宋体" w:cs="宋体"/>
        </w:rPr>
        <w:t>℃）</w:t>
      </w:r>
      <w:r>
        <w:rPr>
          <w:rFonts w:hint="eastAsia" w:eastAsia="宋体" w:cs="宋体"/>
        </w:rPr>
        <w:t>下运送，尽量在</w:t>
      </w:r>
      <w:r>
        <w:rPr>
          <w:rFonts w:eastAsia="宋体"/>
        </w:rPr>
        <w:t>8 h</w:t>
      </w:r>
      <w:r>
        <w:rPr>
          <w:rFonts w:hint="eastAsia" w:eastAsia="宋体" w:cs="宋体"/>
        </w:rPr>
        <w:t>之内到达。如条件允许，样本应采用冰壶加冰或泡沫箱加冰密封进行运输。如为</w:t>
      </w:r>
      <w:r>
        <w:rPr>
          <w:rFonts w:eastAsia="宋体"/>
        </w:rPr>
        <w:t>RNA</w:t>
      </w:r>
      <w:r>
        <w:rPr>
          <w:rFonts w:hint="eastAsia" w:eastAsia="宋体" w:cs="宋体"/>
        </w:rPr>
        <w:t>，短时间内的运送如</w:t>
      </w:r>
      <w:r>
        <w:rPr>
          <w:rFonts w:eastAsia="宋体"/>
        </w:rPr>
        <w:t>10 min</w:t>
      </w:r>
      <w:r>
        <w:rPr>
          <w:rFonts w:hint="eastAsia" w:eastAsia="宋体" w:cs="宋体"/>
        </w:rPr>
        <w:t>左右，可室温下运送，如为较长时间，则应在加冰条件下运送，建议在</w:t>
      </w:r>
      <w:r>
        <w:rPr>
          <w:rFonts w:eastAsia="宋体"/>
        </w:rPr>
        <w:t>4 h</w:t>
      </w:r>
      <w:r>
        <w:rPr>
          <w:rFonts w:hint="eastAsia" w:eastAsia="宋体" w:cs="宋体"/>
        </w:rPr>
        <w:t>送至实验室。如条件允许，应使用液氮或者保存在特殊试剂中运输。</w:t>
      </w:r>
    </w:p>
    <w:p>
      <w:pPr>
        <w:adjustRightInd w:val="0"/>
        <w:snapToGrid w:val="0"/>
        <w:spacing w:afterLines="50"/>
        <w:ind w:firstLine="480"/>
        <w:rPr>
          <w:rFonts w:eastAsia="宋体"/>
        </w:rPr>
      </w:pPr>
      <w:r>
        <w:rPr>
          <w:rFonts w:hint="eastAsia" w:eastAsia="宋体" w:cs="宋体"/>
        </w:rPr>
        <w:t>对于检测靶标为</w:t>
      </w:r>
      <w:r>
        <w:rPr>
          <w:rFonts w:eastAsia="宋体"/>
        </w:rPr>
        <w:t>DNA</w:t>
      </w:r>
      <w:r>
        <w:rPr>
          <w:rFonts w:hint="eastAsia" w:eastAsia="宋体" w:cs="宋体"/>
        </w:rPr>
        <w:t>的样本，在</w:t>
      </w:r>
      <w:r>
        <w:rPr>
          <w:rFonts w:eastAsia="宋体"/>
        </w:rPr>
        <w:t>2</w:t>
      </w:r>
      <w:r>
        <w:rPr>
          <w:rFonts w:hint="eastAsia" w:eastAsia="宋体" w:cs="宋体"/>
        </w:rPr>
        <w:t>～</w:t>
      </w:r>
      <w:r>
        <w:rPr>
          <w:rFonts w:eastAsia="宋体"/>
        </w:rPr>
        <w:t>8</w:t>
      </w:r>
      <w:r>
        <w:rPr>
          <w:rFonts w:hint="eastAsia" w:ascii="宋体" w:hAnsi="宋体" w:eastAsia="宋体" w:cs="宋体"/>
        </w:rPr>
        <w:t>℃</w:t>
      </w:r>
      <w:r>
        <w:rPr>
          <w:rFonts w:hint="eastAsia" w:eastAsia="宋体" w:cs="宋体"/>
        </w:rPr>
        <w:t>可保存</w:t>
      </w:r>
      <w:r>
        <w:rPr>
          <w:rFonts w:eastAsia="宋体"/>
        </w:rPr>
        <w:t>3</w:t>
      </w:r>
      <w:r>
        <w:rPr>
          <w:rFonts w:hint="eastAsia" w:eastAsia="宋体" w:cs="宋体"/>
        </w:rPr>
        <w:t>天。对于检测靶标为</w:t>
      </w:r>
      <w:r>
        <w:rPr>
          <w:rFonts w:eastAsia="宋体"/>
        </w:rPr>
        <w:t>RNA</w:t>
      </w:r>
      <w:r>
        <w:rPr>
          <w:rFonts w:hint="eastAsia" w:eastAsia="宋体" w:cs="宋体"/>
        </w:rPr>
        <w:t>的样本，一旦采集送到实验室后，则应在</w:t>
      </w:r>
      <w:r>
        <w:rPr>
          <w:rFonts w:ascii="宋体" w:hAnsi="宋体" w:eastAsia="宋体" w:cs="宋体"/>
        </w:rPr>
        <w:t>-</w:t>
      </w:r>
      <w:r>
        <w:rPr>
          <w:rFonts w:eastAsia="宋体"/>
        </w:rPr>
        <w:t>20</w:t>
      </w:r>
      <w:r>
        <w:rPr>
          <w:rFonts w:hint="eastAsia" w:ascii="宋体" w:hAnsi="宋体" w:eastAsia="宋体" w:cs="宋体"/>
        </w:rPr>
        <w:t>℃</w:t>
      </w:r>
      <w:r>
        <w:rPr>
          <w:rFonts w:hint="eastAsia" w:eastAsia="宋体" w:cs="宋体"/>
        </w:rPr>
        <w:t>以下冻存。如为血循环中的</w:t>
      </w:r>
      <w:r>
        <w:rPr>
          <w:rFonts w:eastAsia="宋体"/>
        </w:rPr>
        <w:t>RNA</w:t>
      </w:r>
      <w:r>
        <w:rPr>
          <w:rFonts w:hint="eastAsia" w:eastAsia="宋体" w:cs="宋体"/>
        </w:rPr>
        <w:t>，最好不要使用血清样本，而应使用</w:t>
      </w:r>
      <w:r>
        <w:rPr>
          <w:rFonts w:eastAsia="宋体"/>
        </w:rPr>
        <w:t>EDTA</w:t>
      </w:r>
      <w:r>
        <w:rPr>
          <w:rFonts w:hint="eastAsia" w:eastAsia="宋体" w:cs="宋体"/>
        </w:rPr>
        <w:t>抗凝尽快分离后的血浆样本。临床体液样本长期（超过两周）保存应在</w:t>
      </w:r>
      <w:r>
        <w:rPr>
          <w:rFonts w:ascii="宋体" w:hAnsi="宋体" w:eastAsia="宋体" w:cs="宋体"/>
        </w:rPr>
        <w:t>-</w:t>
      </w:r>
      <w:r>
        <w:rPr>
          <w:rFonts w:eastAsia="宋体"/>
        </w:rPr>
        <w:t>70</w:t>
      </w:r>
      <w:r>
        <w:rPr>
          <w:rFonts w:hint="eastAsia" w:ascii="宋体" w:hAnsi="宋体" w:eastAsia="宋体" w:cs="宋体"/>
        </w:rPr>
        <w:t>℃</w:t>
      </w:r>
      <w:r>
        <w:rPr>
          <w:rFonts w:hint="eastAsia" w:eastAsia="宋体" w:cs="宋体"/>
        </w:rPr>
        <w:t>下。</w:t>
      </w:r>
    </w:p>
    <w:p>
      <w:pPr>
        <w:pStyle w:val="3"/>
        <w:adjustRightInd w:val="0"/>
        <w:snapToGrid w:val="0"/>
        <w:spacing w:before="0" w:beforeAutospacing="0" w:afterLines="50" w:afterAutospacing="0" w:line="360" w:lineRule="auto"/>
        <w:ind w:firstLine="0" w:firstLineChars="0"/>
        <w:rPr>
          <w:rFonts w:eastAsia="宋体"/>
          <w:b/>
          <w:bCs/>
        </w:rPr>
      </w:pPr>
      <w:bookmarkStart w:id="30" w:name="_Toc389579859"/>
      <w:bookmarkStart w:id="31" w:name="_Toc371003914"/>
      <w:r>
        <w:rPr>
          <w:rFonts w:eastAsia="宋体"/>
          <w:b/>
          <w:bCs/>
        </w:rPr>
        <w:t>4.3</w:t>
      </w:r>
      <w:r>
        <w:rPr>
          <w:rFonts w:hint="eastAsia" w:eastAsia="宋体" w:cs="宋体"/>
          <w:b/>
          <w:bCs/>
        </w:rPr>
        <w:t>样本质量保证</w:t>
      </w:r>
      <w:bookmarkEnd w:id="30"/>
      <w:bookmarkEnd w:id="31"/>
    </w:p>
    <w:p>
      <w:pPr>
        <w:adjustRightInd w:val="0"/>
        <w:snapToGrid w:val="0"/>
        <w:spacing w:afterLines="50"/>
        <w:ind w:firstLine="480"/>
        <w:rPr>
          <w:rFonts w:eastAsia="宋体"/>
        </w:rPr>
      </w:pPr>
      <w:r>
        <w:rPr>
          <w:rFonts w:hint="eastAsia" w:eastAsia="宋体" w:cs="宋体"/>
        </w:rPr>
        <w:t>（</w:t>
      </w:r>
      <w:r>
        <w:rPr>
          <w:rFonts w:eastAsia="宋体"/>
        </w:rPr>
        <w:t>1</w:t>
      </w:r>
      <w:r>
        <w:rPr>
          <w:rFonts w:hint="eastAsia" w:eastAsia="宋体" w:cs="宋体"/>
        </w:rPr>
        <w:t>）严格按照样本采集规范进行采集，正确运输，保存样本；对采集、运输与保存过程不符规范的样本，予以拒绝接收。对各种样本类型应按检测要求建立采集的标准操作程序（</w:t>
      </w:r>
      <w:r>
        <w:rPr>
          <w:rFonts w:eastAsia="宋体"/>
        </w:rPr>
        <w:t>SOP</w:t>
      </w:r>
      <w:r>
        <w:rPr>
          <w:rFonts w:hint="eastAsia" w:eastAsia="宋体" w:cs="宋体"/>
        </w:rPr>
        <w:t>）。</w:t>
      </w:r>
    </w:p>
    <w:p>
      <w:pPr>
        <w:adjustRightInd w:val="0"/>
        <w:snapToGrid w:val="0"/>
        <w:spacing w:afterLines="50"/>
        <w:ind w:firstLine="480"/>
        <w:rPr>
          <w:rFonts w:eastAsia="宋体"/>
        </w:rPr>
      </w:pPr>
      <w:r>
        <w:rPr>
          <w:rFonts w:hint="eastAsia" w:eastAsia="宋体" w:cs="宋体"/>
        </w:rPr>
        <w:t>（</w:t>
      </w:r>
      <w:r>
        <w:rPr>
          <w:rFonts w:eastAsia="宋体"/>
        </w:rPr>
        <w:t>2</w:t>
      </w:r>
      <w:r>
        <w:rPr>
          <w:rFonts w:hint="eastAsia" w:eastAsia="宋体" w:cs="宋体"/>
        </w:rPr>
        <w:t>）正确进行样本处理，严格按照核酸提取试剂盒说明书操作。</w:t>
      </w:r>
    </w:p>
    <w:p>
      <w:pPr>
        <w:adjustRightInd w:val="0"/>
        <w:snapToGrid w:val="0"/>
        <w:spacing w:afterLines="50"/>
        <w:ind w:firstLine="480"/>
        <w:rPr>
          <w:rFonts w:eastAsia="宋体"/>
        </w:rPr>
      </w:pPr>
      <w:r>
        <w:rPr>
          <w:rFonts w:hint="eastAsia" w:eastAsia="宋体" w:cs="宋体"/>
        </w:rPr>
        <w:t>（</w:t>
      </w:r>
      <w:r>
        <w:rPr>
          <w:rFonts w:eastAsia="宋体"/>
        </w:rPr>
        <w:t>3</w:t>
      </w:r>
      <w:r>
        <w:rPr>
          <w:rFonts w:hint="eastAsia" w:eastAsia="宋体" w:cs="宋体"/>
        </w:rPr>
        <w:t>）有专用的样本核酸提取操作室，并配备相应的专用仪器设备。</w:t>
      </w:r>
    </w:p>
    <w:p>
      <w:pPr>
        <w:adjustRightInd w:val="0"/>
        <w:snapToGrid w:val="0"/>
        <w:spacing w:afterLines="50"/>
        <w:ind w:firstLine="480"/>
        <w:rPr>
          <w:rFonts w:eastAsia="宋体"/>
        </w:rPr>
      </w:pPr>
      <w:r>
        <w:rPr>
          <w:rFonts w:hint="eastAsia" w:eastAsia="宋体" w:cs="宋体"/>
        </w:rPr>
        <w:t>（</w:t>
      </w:r>
      <w:r>
        <w:rPr>
          <w:rFonts w:eastAsia="宋体"/>
        </w:rPr>
        <w:t>4</w:t>
      </w:r>
      <w:r>
        <w:rPr>
          <w:rFonts w:hint="eastAsia" w:eastAsia="宋体" w:cs="宋体"/>
        </w:rPr>
        <w:t>）设定专人保管制度，详细记录样本信息，保证样本信息不丢失、错位。</w:t>
      </w:r>
    </w:p>
    <w:p>
      <w:pPr>
        <w:pStyle w:val="3"/>
        <w:adjustRightInd w:val="0"/>
        <w:snapToGrid w:val="0"/>
        <w:spacing w:before="0" w:beforeAutospacing="0" w:afterLines="50" w:afterAutospacing="0" w:line="360" w:lineRule="auto"/>
        <w:ind w:firstLine="0" w:firstLineChars="0"/>
        <w:rPr>
          <w:rFonts w:eastAsia="宋体"/>
          <w:b/>
          <w:bCs/>
        </w:rPr>
      </w:pPr>
      <w:bookmarkStart w:id="32" w:name="_Toc371003915"/>
      <w:bookmarkStart w:id="33" w:name="_Toc389579860"/>
      <w:bookmarkStart w:id="34" w:name="_Toc363646714"/>
      <w:r>
        <w:rPr>
          <w:rFonts w:eastAsia="宋体"/>
          <w:b/>
          <w:bCs/>
        </w:rPr>
        <w:t>4.4</w:t>
      </w:r>
      <w:r>
        <w:rPr>
          <w:rFonts w:hint="eastAsia" w:eastAsia="宋体" w:cs="宋体"/>
          <w:b/>
          <w:bCs/>
        </w:rPr>
        <w:t>样本信息保存</w:t>
      </w:r>
      <w:bookmarkEnd w:id="32"/>
      <w:bookmarkEnd w:id="33"/>
      <w:bookmarkEnd w:id="34"/>
    </w:p>
    <w:p>
      <w:pPr>
        <w:adjustRightInd w:val="0"/>
        <w:snapToGrid w:val="0"/>
        <w:spacing w:afterLines="50"/>
        <w:ind w:firstLine="480"/>
        <w:rPr>
          <w:rFonts w:eastAsia="宋体"/>
        </w:rPr>
      </w:pPr>
      <w:r>
        <w:rPr>
          <w:rFonts w:hint="eastAsia" w:eastAsia="宋体" w:cs="宋体"/>
        </w:rPr>
        <w:t>被检测样本要求唯一编号，实验前仔细核对和检查。实验室须具备样本保存的基本条件，须配备数据保存及保证数据安全的软、硬件设施，相关数据保存不少于</w:t>
      </w:r>
      <w:r>
        <w:rPr>
          <w:rFonts w:eastAsia="宋体"/>
        </w:rPr>
        <w:t>5</w:t>
      </w:r>
      <w:r>
        <w:rPr>
          <w:rFonts w:hint="eastAsia" w:eastAsia="宋体" w:cs="宋体"/>
        </w:rPr>
        <w:t>年。</w:t>
      </w:r>
    </w:p>
    <w:p>
      <w:pPr>
        <w:adjustRightInd w:val="0"/>
        <w:snapToGrid w:val="0"/>
        <w:spacing w:afterLines="50"/>
        <w:ind w:firstLine="480"/>
        <w:rPr>
          <w:rFonts w:eastAsia="宋体"/>
        </w:rPr>
      </w:pPr>
    </w:p>
    <w:p>
      <w:pPr>
        <w:pStyle w:val="2"/>
        <w:adjustRightInd w:val="0"/>
        <w:snapToGrid w:val="0"/>
        <w:spacing w:before="0" w:afterLines="50" w:line="360" w:lineRule="auto"/>
        <w:ind w:firstLine="0" w:firstLineChars="0"/>
        <w:rPr>
          <w:b/>
          <w:bCs/>
        </w:rPr>
      </w:pPr>
      <w:bookmarkStart w:id="35" w:name="_Toc371003916"/>
      <w:bookmarkStart w:id="36" w:name="_Toc363646715"/>
      <w:bookmarkStart w:id="37" w:name="_Toc389579861"/>
      <w:r>
        <w:rPr>
          <w:b/>
          <w:bCs/>
        </w:rPr>
        <w:t>5.</w:t>
      </w:r>
      <w:r>
        <w:rPr>
          <w:rFonts w:hint="eastAsia" w:cs="宋体"/>
          <w:b/>
          <w:bCs/>
        </w:rPr>
        <w:t>检测各步骤分述</w:t>
      </w:r>
      <w:bookmarkEnd w:id="35"/>
      <w:bookmarkEnd w:id="36"/>
      <w:bookmarkEnd w:id="37"/>
    </w:p>
    <w:p>
      <w:pPr>
        <w:pStyle w:val="3"/>
        <w:adjustRightInd w:val="0"/>
        <w:snapToGrid w:val="0"/>
        <w:spacing w:before="0" w:beforeAutospacing="0" w:afterLines="50" w:afterAutospacing="0" w:line="360" w:lineRule="auto"/>
        <w:ind w:firstLine="0" w:firstLineChars="0"/>
        <w:rPr>
          <w:rFonts w:eastAsia="宋体"/>
          <w:b/>
          <w:bCs/>
        </w:rPr>
      </w:pPr>
      <w:bookmarkStart w:id="38" w:name="_Toc389579862"/>
      <w:bookmarkStart w:id="39" w:name="_Toc371003917"/>
      <w:bookmarkStart w:id="40" w:name="_Toc363646716"/>
      <w:r>
        <w:rPr>
          <w:rFonts w:eastAsia="宋体"/>
          <w:b/>
          <w:bCs/>
        </w:rPr>
        <w:t>5.1</w:t>
      </w:r>
      <w:r>
        <w:rPr>
          <w:rFonts w:hint="eastAsia" w:eastAsia="宋体" w:cs="宋体"/>
          <w:b/>
          <w:bCs/>
        </w:rPr>
        <w:t>核酸分离</w:t>
      </w:r>
      <w:bookmarkEnd w:id="38"/>
      <w:bookmarkEnd w:id="39"/>
      <w:bookmarkEnd w:id="40"/>
    </w:p>
    <w:p>
      <w:pPr>
        <w:adjustRightInd w:val="0"/>
        <w:snapToGrid w:val="0"/>
        <w:spacing w:afterLines="50"/>
        <w:ind w:firstLine="480"/>
        <w:rPr>
          <w:rFonts w:eastAsia="宋体"/>
        </w:rPr>
      </w:pPr>
      <w:r>
        <w:rPr>
          <w:rFonts w:hint="eastAsia" w:eastAsia="宋体" w:cs="宋体"/>
        </w:rPr>
        <w:t>采用微阵列基因芯片说明书规定的方法或指定的商品化试剂盒。提取</w:t>
      </w:r>
      <w:r>
        <w:rPr>
          <w:rFonts w:eastAsia="宋体"/>
        </w:rPr>
        <w:t>RNA</w:t>
      </w:r>
      <w:r>
        <w:rPr>
          <w:rFonts w:hint="eastAsia" w:eastAsia="宋体" w:cs="宋体"/>
        </w:rPr>
        <w:t>时，须迅速灭活</w:t>
      </w:r>
      <w:r>
        <w:rPr>
          <w:rFonts w:eastAsia="宋体"/>
        </w:rPr>
        <w:t>RNA</w:t>
      </w:r>
      <w:r>
        <w:rPr>
          <w:rFonts w:hint="eastAsia" w:eastAsia="宋体" w:cs="宋体"/>
        </w:rPr>
        <w:t>酶防止对</w:t>
      </w:r>
      <w:r>
        <w:rPr>
          <w:rFonts w:eastAsia="宋体"/>
        </w:rPr>
        <w:t>RNA</w:t>
      </w:r>
      <w:r>
        <w:rPr>
          <w:rFonts w:hint="eastAsia" w:eastAsia="宋体" w:cs="宋体"/>
        </w:rPr>
        <w:t>的降解，须严格遵循已经证明行之有效的提取方法和操作规范，比如须佩戴一次性手套口罩、使用</w:t>
      </w:r>
      <w:r>
        <w:rPr>
          <w:rFonts w:eastAsia="宋体"/>
        </w:rPr>
        <w:t>RNase-free</w:t>
      </w:r>
      <w:r>
        <w:rPr>
          <w:rFonts w:hint="eastAsia" w:eastAsia="宋体" w:cs="宋体"/>
        </w:rPr>
        <w:t>的试剂耗材等。</w:t>
      </w:r>
    </w:p>
    <w:p>
      <w:pPr>
        <w:pStyle w:val="3"/>
        <w:adjustRightInd w:val="0"/>
        <w:snapToGrid w:val="0"/>
        <w:spacing w:before="0" w:beforeAutospacing="0" w:afterLines="50" w:afterAutospacing="0" w:line="360" w:lineRule="auto"/>
        <w:ind w:firstLine="0" w:firstLineChars="0"/>
        <w:rPr>
          <w:rFonts w:eastAsia="宋体"/>
          <w:b/>
          <w:bCs/>
        </w:rPr>
      </w:pPr>
      <w:bookmarkStart w:id="41" w:name="_Toc363646717"/>
      <w:bookmarkStart w:id="42" w:name="_Toc371003918"/>
      <w:bookmarkStart w:id="43" w:name="_Toc389579863"/>
      <w:r>
        <w:rPr>
          <w:rFonts w:eastAsia="宋体"/>
          <w:b/>
          <w:bCs/>
        </w:rPr>
        <w:t>5.2</w:t>
      </w:r>
      <w:r>
        <w:rPr>
          <w:rFonts w:hint="eastAsia" w:eastAsia="宋体" w:cs="宋体"/>
          <w:b/>
          <w:bCs/>
        </w:rPr>
        <w:t>核酸定量</w:t>
      </w:r>
      <w:bookmarkEnd w:id="41"/>
      <w:bookmarkEnd w:id="42"/>
      <w:r>
        <w:rPr>
          <w:rFonts w:hint="eastAsia" w:eastAsia="宋体" w:cs="宋体"/>
          <w:b/>
          <w:bCs/>
        </w:rPr>
        <w:t>（如适用）</w:t>
      </w:r>
      <w:bookmarkEnd w:id="43"/>
    </w:p>
    <w:p>
      <w:pPr>
        <w:adjustRightInd w:val="0"/>
        <w:snapToGrid w:val="0"/>
        <w:spacing w:afterLines="50"/>
        <w:ind w:firstLine="480"/>
        <w:rPr>
          <w:rFonts w:eastAsia="宋体"/>
        </w:rPr>
      </w:pPr>
      <w:r>
        <w:rPr>
          <w:rFonts w:hint="eastAsia" w:eastAsia="宋体" w:cs="宋体"/>
        </w:rPr>
        <w:t>使用紫外分光光度计法或荧光染料法。在检测核酸浓度时须注意：一是检测核酸浓度的分光光度计（或者染料法使用的酶标仪）须建立标准操作程序，并注意维护；二是每次检测前，须同时检测已知浓度的对照样本，确保浓度测定准确。</w:t>
      </w:r>
    </w:p>
    <w:p>
      <w:pPr>
        <w:adjustRightInd w:val="0"/>
        <w:snapToGrid w:val="0"/>
        <w:spacing w:afterLines="50"/>
        <w:ind w:firstLine="480"/>
        <w:rPr>
          <w:rFonts w:eastAsia="宋体"/>
        </w:rPr>
      </w:pPr>
      <w:r>
        <w:rPr>
          <w:rFonts w:hint="eastAsia" w:eastAsia="宋体" w:cs="宋体"/>
        </w:rPr>
        <w:t>确认特定检测芯片的最低检测限和检测范围，所提取核酸浓度和质量须能满足微阵列基因芯片的检测需要，必要时纯化、稀释或浓缩。举例来说，遗传性耳聋基因检测芯片可以设定最低检测限为</w:t>
      </w:r>
      <w:r>
        <w:rPr>
          <w:rFonts w:eastAsia="宋体"/>
        </w:rPr>
        <w:t>100 ng/</w:t>
      </w:r>
      <w:r>
        <w:rPr>
          <w:rFonts w:hint="eastAsia" w:eastAsia="宋体" w:cs="宋体"/>
        </w:rPr>
        <w:t>μ</w:t>
      </w:r>
      <w:r>
        <w:rPr>
          <w:rFonts w:eastAsia="宋体"/>
        </w:rPr>
        <w:t>L</w:t>
      </w:r>
      <w:r>
        <w:rPr>
          <w:rFonts w:hint="eastAsia" w:eastAsia="宋体" w:cs="宋体"/>
        </w:rPr>
        <w:t>人基因组</w:t>
      </w:r>
      <w:r>
        <w:rPr>
          <w:rFonts w:eastAsia="宋体"/>
        </w:rPr>
        <w:t>DNA</w:t>
      </w:r>
      <w:r>
        <w:rPr>
          <w:rFonts w:hint="eastAsia" w:eastAsia="宋体" w:cs="宋体"/>
        </w:rPr>
        <w:t>，检测范围为</w:t>
      </w:r>
      <w:r>
        <w:rPr>
          <w:rFonts w:eastAsia="宋体"/>
        </w:rPr>
        <w:t>100 ng/μL</w:t>
      </w:r>
      <w:r>
        <w:rPr>
          <w:rFonts w:hint="eastAsia" w:eastAsia="宋体" w:cs="宋体"/>
        </w:rPr>
        <w:t>至</w:t>
      </w:r>
      <w:r>
        <w:rPr>
          <w:rFonts w:eastAsia="宋体"/>
        </w:rPr>
        <w:t>300 ng/μL</w:t>
      </w:r>
      <w:r>
        <w:rPr>
          <w:rFonts w:hint="eastAsia" w:eastAsia="宋体" w:cs="宋体"/>
        </w:rPr>
        <w:t>人基因组</w:t>
      </w:r>
      <w:r>
        <w:rPr>
          <w:rFonts w:eastAsia="宋体"/>
        </w:rPr>
        <w:t>DNA</w:t>
      </w:r>
      <w:r>
        <w:rPr>
          <w:rFonts w:hint="eastAsia" w:eastAsia="宋体" w:cs="宋体"/>
        </w:rPr>
        <w:t>，核酸纯度</w:t>
      </w:r>
      <w:r>
        <w:rPr>
          <w:rFonts w:eastAsia="宋体"/>
        </w:rPr>
        <w:t>OD260/280=1.7-2.0</w:t>
      </w:r>
      <w:r>
        <w:rPr>
          <w:rFonts w:hint="eastAsia" w:eastAsia="宋体" w:cs="宋体"/>
        </w:rPr>
        <w:t>，那么需要从临床血液样本中提取核酸，并用分光光度计测定浓度，进行必要的纯化、稀释或浓缩以满足要求；若芯片设定最低检测限为</w:t>
      </w:r>
      <w:r>
        <w:rPr>
          <w:rFonts w:eastAsia="宋体"/>
        </w:rPr>
        <w:t>2 ng/μL</w:t>
      </w:r>
      <w:r>
        <w:rPr>
          <w:rFonts w:hint="eastAsia" w:eastAsia="宋体" w:cs="宋体"/>
        </w:rPr>
        <w:t>人基因组</w:t>
      </w:r>
      <w:r>
        <w:rPr>
          <w:rFonts w:eastAsia="宋体"/>
        </w:rPr>
        <w:t>DNA</w:t>
      </w:r>
      <w:r>
        <w:rPr>
          <w:rFonts w:hint="eastAsia" w:eastAsia="宋体" w:cs="宋体"/>
        </w:rPr>
        <w:t>，检测范围为</w:t>
      </w:r>
      <w:r>
        <w:rPr>
          <w:rFonts w:eastAsia="宋体"/>
        </w:rPr>
        <w:t>2 ng/μL</w:t>
      </w:r>
      <w:r>
        <w:rPr>
          <w:rFonts w:hint="eastAsia" w:eastAsia="宋体" w:cs="宋体"/>
        </w:rPr>
        <w:t>至</w:t>
      </w:r>
      <w:r>
        <w:rPr>
          <w:rFonts w:eastAsia="宋体"/>
        </w:rPr>
        <w:t>50 ng/μL</w:t>
      </w:r>
      <w:r>
        <w:rPr>
          <w:rFonts w:hint="eastAsia" w:eastAsia="宋体" w:cs="宋体"/>
        </w:rPr>
        <w:t>人基因组</w:t>
      </w:r>
      <w:r>
        <w:rPr>
          <w:rFonts w:eastAsia="宋体"/>
        </w:rPr>
        <w:t>DNA</w:t>
      </w:r>
      <w:r>
        <w:rPr>
          <w:rFonts w:hint="eastAsia" w:eastAsia="宋体" w:cs="宋体"/>
        </w:rPr>
        <w:t>，核酸纯度</w:t>
      </w:r>
      <w:r>
        <w:rPr>
          <w:rFonts w:eastAsia="宋体"/>
        </w:rPr>
        <w:t>OD260/280=1.7-2.0</w:t>
      </w:r>
      <w:r>
        <w:rPr>
          <w:rFonts w:hint="eastAsia" w:eastAsia="宋体" w:cs="宋体"/>
        </w:rPr>
        <w:t>，那么可以从临床血液、血斑等说明书中标识的样本中提取核酸，必要时用分光光度计测定浓度，以及进行纯化、稀释或浓缩以满足要求。再举例，检测结核分枝杆菌的微阵列芯片，对从临床痰液中提取核酸，若说明书中已经规定了详细步骤，并指出不必采用分光光度计检测，那么可以省略核酸定量。</w:t>
      </w:r>
    </w:p>
    <w:p>
      <w:pPr>
        <w:pStyle w:val="3"/>
        <w:adjustRightInd w:val="0"/>
        <w:snapToGrid w:val="0"/>
        <w:spacing w:before="0" w:beforeAutospacing="0" w:afterLines="50" w:afterAutospacing="0" w:line="360" w:lineRule="auto"/>
        <w:ind w:firstLine="0" w:firstLineChars="0"/>
        <w:rPr>
          <w:rFonts w:eastAsia="宋体"/>
          <w:b/>
          <w:bCs/>
        </w:rPr>
      </w:pPr>
      <w:bookmarkStart w:id="44" w:name="_Toc389579864"/>
      <w:bookmarkStart w:id="45" w:name="_Toc363646718"/>
      <w:bookmarkStart w:id="46" w:name="_Toc371003919"/>
      <w:r>
        <w:rPr>
          <w:rFonts w:eastAsia="宋体"/>
          <w:b/>
          <w:bCs/>
        </w:rPr>
        <w:t>5.3</w:t>
      </w:r>
      <w:r>
        <w:rPr>
          <w:rFonts w:hint="eastAsia" w:eastAsia="宋体" w:cs="宋体"/>
          <w:b/>
          <w:bCs/>
        </w:rPr>
        <w:t>核酸扩增和标记</w:t>
      </w:r>
      <w:bookmarkEnd w:id="44"/>
      <w:bookmarkEnd w:id="45"/>
      <w:bookmarkEnd w:id="46"/>
    </w:p>
    <w:p>
      <w:pPr>
        <w:tabs>
          <w:tab w:val="left" w:pos="540"/>
        </w:tabs>
        <w:adjustRightInd w:val="0"/>
        <w:snapToGrid w:val="0"/>
        <w:spacing w:afterLines="50"/>
        <w:ind w:firstLine="480"/>
        <w:rPr>
          <w:rFonts w:eastAsia="宋体"/>
        </w:rPr>
      </w:pPr>
      <w:r>
        <w:rPr>
          <w:rFonts w:hint="eastAsia" w:eastAsia="宋体" w:cs="宋体"/>
        </w:rPr>
        <w:t>扩增反应（如</w:t>
      </w:r>
      <w:r>
        <w:rPr>
          <w:rFonts w:eastAsia="宋体"/>
        </w:rPr>
        <w:t>PCR</w:t>
      </w:r>
      <w:r>
        <w:rPr>
          <w:rFonts w:hint="eastAsia" w:eastAsia="宋体" w:cs="宋体"/>
        </w:rPr>
        <w:t>、体外转录等）须遵循《医疗机构临床基因扩增检验实验室管理办法》，防止污染。</w:t>
      </w:r>
    </w:p>
    <w:p>
      <w:pPr>
        <w:tabs>
          <w:tab w:val="left" w:pos="540"/>
        </w:tabs>
        <w:adjustRightInd w:val="0"/>
        <w:snapToGrid w:val="0"/>
        <w:spacing w:afterLines="50"/>
        <w:ind w:firstLine="480"/>
        <w:rPr>
          <w:rFonts w:eastAsia="宋体"/>
        </w:rPr>
      </w:pPr>
      <w:r>
        <w:rPr>
          <w:rFonts w:hint="eastAsia" w:eastAsia="宋体" w:cs="宋体"/>
        </w:rPr>
        <w:t>荧光标记为常用的样品标记方式，也可以对核酸样品进行纳米金或磁珠等标记。</w:t>
      </w:r>
      <w:r>
        <w:rPr>
          <w:rFonts w:eastAsia="宋体"/>
        </w:rPr>
        <w:t>DNA</w:t>
      </w:r>
      <w:r>
        <w:rPr>
          <w:rFonts w:hint="eastAsia" w:eastAsia="宋体" w:cs="宋体"/>
        </w:rPr>
        <w:t>样品可在核酸扩增同时进行标记。当进行</w:t>
      </w:r>
      <w:r>
        <w:rPr>
          <w:rFonts w:eastAsia="宋体"/>
        </w:rPr>
        <w:t>RNA</w:t>
      </w:r>
      <w:r>
        <w:rPr>
          <w:rFonts w:hint="eastAsia" w:eastAsia="宋体" w:cs="宋体"/>
        </w:rPr>
        <w:t>表达谱分析时，首先在体外把</w:t>
      </w:r>
      <w:r>
        <w:rPr>
          <w:rFonts w:eastAsia="宋体"/>
        </w:rPr>
        <w:t>RNA</w:t>
      </w:r>
      <w:r>
        <w:rPr>
          <w:rFonts w:hint="eastAsia" w:eastAsia="宋体" w:cs="宋体"/>
        </w:rPr>
        <w:t>反转录成</w:t>
      </w:r>
      <w:r>
        <w:rPr>
          <w:rFonts w:eastAsia="宋体"/>
        </w:rPr>
        <w:t>cDNA</w:t>
      </w:r>
      <w:r>
        <w:rPr>
          <w:rFonts w:hint="eastAsia" w:eastAsia="宋体" w:cs="宋体"/>
        </w:rPr>
        <w:t>，然后进行体外扩增和荧光标记。必要时对产物进行纯化。</w:t>
      </w:r>
    </w:p>
    <w:p>
      <w:pPr>
        <w:pStyle w:val="3"/>
        <w:adjustRightInd w:val="0"/>
        <w:snapToGrid w:val="0"/>
        <w:spacing w:before="0" w:beforeAutospacing="0" w:afterLines="50" w:afterAutospacing="0" w:line="360" w:lineRule="auto"/>
        <w:ind w:firstLine="0" w:firstLineChars="0"/>
        <w:rPr>
          <w:rFonts w:eastAsia="宋体"/>
          <w:b/>
          <w:bCs/>
        </w:rPr>
      </w:pPr>
      <w:bookmarkStart w:id="47" w:name="_Toc363646719"/>
      <w:bookmarkStart w:id="48" w:name="_Toc389579865"/>
      <w:bookmarkStart w:id="49" w:name="_Toc371003920"/>
      <w:r>
        <w:rPr>
          <w:rFonts w:eastAsia="宋体"/>
          <w:b/>
          <w:bCs/>
        </w:rPr>
        <w:t>5.4</w:t>
      </w:r>
      <w:r>
        <w:rPr>
          <w:rFonts w:hint="eastAsia" w:eastAsia="宋体" w:cs="宋体"/>
          <w:b/>
          <w:bCs/>
        </w:rPr>
        <w:t>芯片杂交</w:t>
      </w:r>
      <w:bookmarkEnd w:id="47"/>
      <w:bookmarkEnd w:id="48"/>
      <w:bookmarkEnd w:id="49"/>
    </w:p>
    <w:p>
      <w:pPr>
        <w:pStyle w:val="15"/>
        <w:adjustRightInd w:val="0"/>
        <w:snapToGrid w:val="0"/>
        <w:spacing w:afterLines="50"/>
        <w:ind w:firstLine="480"/>
        <w:rPr>
          <w:rFonts w:eastAsia="宋体"/>
        </w:rPr>
      </w:pPr>
      <w:r>
        <w:rPr>
          <w:rFonts w:hint="eastAsia" w:eastAsia="宋体" w:cs="宋体"/>
        </w:rPr>
        <w:t>按相应检测项目的操作说明将标记的扩增产物与杂交缓冲液混合，加到微阵列基因芯片上，放置于合适的温度下杂交。杂交完成后，将芯片进行洗涤干燥。</w:t>
      </w:r>
    </w:p>
    <w:p>
      <w:pPr>
        <w:pStyle w:val="3"/>
        <w:adjustRightInd w:val="0"/>
        <w:snapToGrid w:val="0"/>
        <w:spacing w:before="0" w:beforeAutospacing="0" w:afterLines="50" w:afterAutospacing="0" w:line="360" w:lineRule="auto"/>
        <w:ind w:firstLine="0" w:firstLineChars="0"/>
        <w:rPr>
          <w:rFonts w:eastAsia="宋体"/>
          <w:b/>
          <w:bCs/>
        </w:rPr>
      </w:pPr>
      <w:bookmarkStart w:id="50" w:name="_Toc371003921"/>
      <w:bookmarkStart w:id="51" w:name="_Toc363646720"/>
      <w:bookmarkStart w:id="52" w:name="_Toc389579866"/>
      <w:r>
        <w:rPr>
          <w:rFonts w:eastAsia="宋体"/>
          <w:b/>
          <w:bCs/>
        </w:rPr>
        <w:t>5.5</w:t>
      </w:r>
      <w:r>
        <w:rPr>
          <w:rFonts w:hint="eastAsia" w:eastAsia="宋体" w:cs="宋体"/>
          <w:b/>
          <w:bCs/>
        </w:rPr>
        <w:t>信号采集</w:t>
      </w:r>
      <w:bookmarkEnd w:id="50"/>
      <w:bookmarkEnd w:id="51"/>
      <w:bookmarkStart w:id="53" w:name="_Toc320102064"/>
      <w:r>
        <w:rPr>
          <w:rFonts w:hint="eastAsia" w:eastAsia="宋体" w:cs="宋体"/>
          <w:b/>
          <w:bCs/>
        </w:rPr>
        <w:t>和数据分析</w:t>
      </w:r>
      <w:bookmarkEnd w:id="52"/>
    </w:p>
    <w:p>
      <w:pPr>
        <w:adjustRightInd w:val="0"/>
        <w:snapToGrid w:val="0"/>
        <w:spacing w:afterLines="50"/>
        <w:ind w:firstLine="480"/>
        <w:rPr>
          <w:rFonts w:eastAsia="宋体"/>
        </w:rPr>
      </w:pPr>
      <w:r>
        <w:rPr>
          <w:rFonts w:hint="eastAsia" w:eastAsia="宋体" w:cs="宋体"/>
        </w:rPr>
        <w:t>使用基因芯片荧光扫描仪检测微阵列基因芯片时，必须定期对扫描仪进行校准，通常为每周一次。设置合适的扫描参数，由软件自动分析得到信号值。</w:t>
      </w:r>
      <w:bookmarkEnd w:id="53"/>
      <w:r>
        <w:rPr>
          <w:rFonts w:hint="eastAsia" w:eastAsia="宋体" w:cs="宋体"/>
        </w:rPr>
        <w:t>需要采用专用算法程序得到检测结果的，须由专业人员按照规定流程进行分析。</w:t>
      </w:r>
    </w:p>
    <w:p>
      <w:pPr>
        <w:adjustRightInd w:val="0"/>
        <w:snapToGrid w:val="0"/>
        <w:spacing w:afterLines="50"/>
        <w:ind w:firstLine="480"/>
        <w:rPr>
          <w:rFonts w:eastAsia="宋体"/>
        </w:rPr>
      </w:pPr>
      <w:r>
        <w:rPr>
          <w:rFonts w:hint="eastAsia" w:eastAsia="宋体" w:cs="宋体"/>
        </w:rPr>
        <w:t>对于分析软件判定为检测失败或者检测位点信号丢失的样本，须进行重新检测。重新检测的过程同初次检测一样，包括核酸提取、扩增、标记，芯片杂交以及后续的图像扫描及数据分析。</w:t>
      </w:r>
    </w:p>
    <w:p>
      <w:pPr>
        <w:adjustRightInd w:val="0"/>
        <w:snapToGrid w:val="0"/>
        <w:spacing w:afterLines="50"/>
        <w:ind w:firstLine="480"/>
        <w:rPr>
          <w:rFonts w:eastAsia="宋体"/>
        </w:rPr>
      </w:pPr>
    </w:p>
    <w:p>
      <w:pPr>
        <w:pStyle w:val="2"/>
        <w:adjustRightInd w:val="0"/>
        <w:snapToGrid w:val="0"/>
        <w:spacing w:before="0" w:afterLines="50" w:line="360" w:lineRule="auto"/>
        <w:ind w:firstLine="0" w:firstLineChars="0"/>
        <w:rPr>
          <w:b/>
          <w:bCs/>
        </w:rPr>
      </w:pPr>
      <w:bookmarkStart w:id="54" w:name="_Toc389579867"/>
      <w:bookmarkStart w:id="55" w:name="_Toc363646722"/>
      <w:bookmarkStart w:id="56" w:name="_Toc371003923"/>
      <w:r>
        <w:rPr>
          <w:b/>
          <w:bCs/>
        </w:rPr>
        <w:t>6.</w:t>
      </w:r>
      <w:r>
        <w:rPr>
          <w:rFonts w:hint="eastAsia" w:cs="宋体"/>
          <w:b/>
          <w:bCs/>
        </w:rPr>
        <w:t>结果报告</w:t>
      </w:r>
      <w:bookmarkEnd w:id="54"/>
      <w:bookmarkEnd w:id="55"/>
      <w:bookmarkEnd w:id="56"/>
    </w:p>
    <w:p>
      <w:pPr>
        <w:adjustRightInd w:val="0"/>
        <w:snapToGrid w:val="0"/>
        <w:spacing w:afterLines="50"/>
        <w:ind w:firstLine="480"/>
        <w:rPr>
          <w:rFonts w:eastAsia="宋体"/>
        </w:rPr>
      </w:pPr>
      <w:r>
        <w:rPr>
          <w:rFonts w:hint="eastAsia" w:eastAsia="宋体" w:cs="宋体"/>
        </w:rPr>
        <w:t>被检测样本检测报告须由专业结果报告系统按照统一的标准格式自动打印出报告，并给出具体检测结果。检测报告必须说明检测方法的局限性和适用范围。</w:t>
      </w:r>
    </w:p>
    <w:p>
      <w:pPr>
        <w:adjustRightInd w:val="0"/>
        <w:snapToGrid w:val="0"/>
        <w:spacing w:afterLines="50"/>
        <w:ind w:firstLine="480"/>
        <w:rPr>
          <w:rFonts w:eastAsia="宋体"/>
        </w:rPr>
      </w:pPr>
      <w:r>
        <w:rPr>
          <w:rFonts w:hint="eastAsia" w:eastAsia="宋体" w:cs="宋体"/>
        </w:rPr>
        <w:t>检测报告须由专业人员（具备相应资质的医师）向被检测者进行解读。</w:t>
      </w:r>
    </w:p>
    <w:p>
      <w:pPr>
        <w:adjustRightInd w:val="0"/>
        <w:snapToGrid w:val="0"/>
        <w:spacing w:afterLines="50"/>
        <w:ind w:firstLine="480"/>
        <w:rPr>
          <w:rFonts w:eastAsia="宋体"/>
        </w:rPr>
      </w:pPr>
    </w:p>
    <w:p>
      <w:pPr>
        <w:pStyle w:val="2"/>
        <w:adjustRightInd w:val="0"/>
        <w:snapToGrid w:val="0"/>
        <w:spacing w:before="0" w:afterLines="50" w:line="360" w:lineRule="auto"/>
        <w:ind w:firstLine="0" w:firstLineChars="0"/>
        <w:rPr>
          <w:b/>
          <w:bCs/>
        </w:rPr>
      </w:pPr>
      <w:bookmarkStart w:id="57" w:name="_Toc371003924"/>
      <w:bookmarkStart w:id="58" w:name="_Toc389579868"/>
      <w:bookmarkStart w:id="59" w:name="_Toc363646723"/>
      <w:r>
        <w:rPr>
          <w:b/>
          <w:bCs/>
        </w:rPr>
        <w:t>7.</w:t>
      </w:r>
      <w:r>
        <w:rPr>
          <w:rFonts w:hint="eastAsia" w:cs="宋体"/>
          <w:b/>
          <w:bCs/>
        </w:rPr>
        <w:t>质量控制</w:t>
      </w:r>
      <w:bookmarkEnd w:id="57"/>
      <w:bookmarkEnd w:id="58"/>
      <w:bookmarkEnd w:id="59"/>
    </w:p>
    <w:p>
      <w:pPr>
        <w:adjustRightInd w:val="0"/>
        <w:snapToGrid w:val="0"/>
        <w:spacing w:afterLines="50"/>
        <w:ind w:firstLine="480"/>
        <w:rPr>
          <w:rFonts w:eastAsia="宋体"/>
        </w:rPr>
      </w:pPr>
      <w:r>
        <w:rPr>
          <w:rFonts w:hint="eastAsia" w:eastAsia="宋体" w:cs="宋体"/>
        </w:rPr>
        <w:t>（</w:t>
      </w:r>
      <w:r>
        <w:rPr>
          <w:rFonts w:eastAsia="宋体"/>
        </w:rPr>
        <w:t>1</w:t>
      </w:r>
      <w:r>
        <w:rPr>
          <w:rFonts w:hint="eastAsia" w:eastAsia="宋体" w:cs="宋体"/>
        </w:rPr>
        <w:t>）微阵列基因芯片须符合中国国家标准化管理委员会发布的《</w:t>
      </w:r>
      <w:r>
        <w:rPr>
          <w:rFonts w:eastAsia="宋体"/>
        </w:rPr>
        <w:t>DNA</w:t>
      </w:r>
      <w:r>
        <w:rPr>
          <w:rFonts w:hint="eastAsia" w:eastAsia="宋体" w:cs="宋体"/>
        </w:rPr>
        <w:t>微阵列芯片通用技术条件》（</w:t>
      </w:r>
      <w:r>
        <w:rPr>
          <w:rFonts w:eastAsia="宋体"/>
        </w:rPr>
        <w:t>GB/T 28639-2012</w:t>
      </w:r>
      <w:r>
        <w:rPr>
          <w:rFonts w:hint="eastAsia" w:eastAsia="宋体" w:cs="宋体"/>
        </w:rPr>
        <w:t>）所规定的性能要求。在每个阵列中应设置表面化学修饰质控探针、阳性质控探针、阴性质控探针、内标质控探针以及空白对照。</w:t>
      </w:r>
    </w:p>
    <w:p>
      <w:pPr>
        <w:adjustRightInd w:val="0"/>
        <w:snapToGrid w:val="0"/>
        <w:spacing w:afterLines="50"/>
        <w:ind w:firstLine="480"/>
        <w:rPr>
          <w:rFonts w:eastAsia="宋体"/>
        </w:rPr>
      </w:pPr>
      <w:r>
        <w:rPr>
          <w:rFonts w:hint="eastAsia" w:eastAsia="宋体" w:cs="宋体"/>
        </w:rPr>
        <w:t>（</w:t>
      </w:r>
      <w:r>
        <w:rPr>
          <w:rFonts w:eastAsia="宋体"/>
        </w:rPr>
        <w:t>2</w:t>
      </w:r>
      <w:r>
        <w:rPr>
          <w:rFonts w:hint="eastAsia" w:eastAsia="宋体" w:cs="宋体"/>
        </w:rPr>
        <w:t>）微阵列基因芯片须经过分析性能验证，包括检测灵敏度、阳性符合率、阴性符合率、批内重复性。用灵敏度参考品对抽检的微阵列基因芯片进行检测，灵敏度测定结果应符合相应产品标准的要求。用阳性参考品对抽检的微阵列基因芯片进行检测，测定阳性符合率应符合相应产品标准的要求。用阴性参考品对抽检的微阵列基因芯片进行检测，测定阴性符合率应符合相应产品标准的要求。用重复性参考品对同一批生产的至少</w:t>
      </w:r>
      <w:r>
        <w:rPr>
          <w:rFonts w:eastAsia="宋体"/>
        </w:rPr>
        <w:t>2</w:t>
      </w:r>
      <w:r>
        <w:rPr>
          <w:rFonts w:hint="eastAsia" w:eastAsia="宋体" w:cs="宋体"/>
        </w:rPr>
        <w:t>张芯片的</w:t>
      </w:r>
      <w:r>
        <w:rPr>
          <w:rFonts w:eastAsia="宋体"/>
        </w:rPr>
        <w:t>10</w:t>
      </w:r>
      <w:r>
        <w:rPr>
          <w:rFonts w:hint="eastAsia" w:eastAsia="宋体" w:cs="宋体"/>
        </w:rPr>
        <w:t>个子阵列平行检测，各次测定结果应正确一致。</w:t>
      </w:r>
    </w:p>
    <w:p>
      <w:pPr>
        <w:adjustRightInd w:val="0"/>
        <w:snapToGrid w:val="0"/>
        <w:spacing w:afterLines="50"/>
        <w:ind w:firstLine="480"/>
        <w:rPr>
          <w:rFonts w:eastAsia="宋体"/>
        </w:rPr>
      </w:pPr>
      <w:r>
        <w:rPr>
          <w:rFonts w:hint="eastAsia" w:eastAsia="宋体" w:cs="宋体"/>
        </w:rPr>
        <w:t>（</w:t>
      </w:r>
      <w:r>
        <w:rPr>
          <w:rFonts w:eastAsia="宋体"/>
        </w:rPr>
        <w:t>3</w:t>
      </w:r>
      <w:r>
        <w:rPr>
          <w:rFonts w:hint="eastAsia" w:eastAsia="宋体" w:cs="宋体"/>
        </w:rPr>
        <w:t>）检测相关仪器须获得</w:t>
      </w:r>
      <w:r>
        <w:rPr>
          <w:rFonts w:eastAsia="宋体"/>
        </w:rPr>
        <w:t>CFDA</w:t>
      </w:r>
      <w:r>
        <w:rPr>
          <w:rFonts w:hint="eastAsia" w:eastAsia="宋体" w:cs="宋体"/>
        </w:rPr>
        <w:t>医疗器械注册证书。仪器需定期维护和校验。</w:t>
      </w:r>
    </w:p>
    <w:p>
      <w:pPr>
        <w:adjustRightInd w:val="0"/>
        <w:snapToGrid w:val="0"/>
        <w:spacing w:afterLines="50"/>
        <w:ind w:firstLine="480"/>
        <w:rPr>
          <w:rFonts w:eastAsia="宋体"/>
        </w:rPr>
      </w:pPr>
      <w:r>
        <w:rPr>
          <w:rFonts w:hint="eastAsia" w:eastAsia="宋体" w:cs="宋体"/>
        </w:rPr>
        <w:t>（</w:t>
      </w:r>
      <w:r>
        <w:rPr>
          <w:rFonts w:eastAsia="宋体"/>
        </w:rPr>
        <w:t>4</w:t>
      </w:r>
      <w:r>
        <w:rPr>
          <w:rFonts w:hint="eastAsia" w:eastAsia="宋体" w:cs="宋体"/>
        </w:rPr>
        <w:t>）临床基因芯片检测实验室须按照《医疗机构临床基因扩增检验实验室管理办法》开展室内质量控制，并参加室间质量评价或进行有效的实验室间比对。</w:t>
      </w:r>
    </w:p>
    <w:p>
      <w:pPr>
        <w:adjustRightInd w:val="0"/>
        <w:snapToGrid w:val="0"/>
        <w:spacing w:afterLines="50"/>
        <w:ind w:firstLine="480"/>
        <w:rPr>
          <w:rFonts w:eastAsia="宋体"/>
        </w:rPr>
      </w:pPr>
      <w:r>
        <w:rPr>
          <w:rFonts w:hint="eastAsia" w:eastAsia="宋体" w:cs="宋体"/>
        </w:rPr>
        <w:t>（</w:t>
      </w:r>
      <w:r>
        <w:rPr>
          <w:rFonts w:eastAsia="宋体"/>
        </w:rPr>
        <w:t>5</w:t>
      </w:r>
      <w:r>
        <w:rPr>
          <w:rFonts w:hint="eastAsia" w:eastAsia="宋体" w:cs="宋体"/>
        </w:rPr>
        <w:t>）须建立基因芯片诊断技术相关器材登记制度，保证基因芯片、基因提取标记和分子杂交试剂的来源可追溯。不得违规重复使用一次性器材和试剂。</w:t>
      </w:r>
    </w:p>
    <w:p>
      <w:pPr>
        <w:adjustRightInd w:val="0"/>
        <w:snapToGrid w:val="0"/>
        <w:spacing w:afterLines="50"/>
        <w:ind w:firstLine="480"/>
        <w:rPr>
          <w:rFonts w:eastAsia="宋体"/>
        </w:rPr>
      </w:pPr>
      <w:r>
        <w:rPr>
          <w:rFonts w:hint="eastAsia" w:eastAsia="宋体" w:cs="宋体"/>
        </w:rPr>
        <w:t>（</w:t>
      </w:r>
      <w:r>
        <w:rPr>
          <w:rFonts w:eastAsia="宋体"/>
        </w:rPr>
        <w:t>6</w:t>
      </w:r>
      <w:r>
        <w:rPr>
          <w:rFonts w:hint="eastAsia" w:eastAsia="宋体" w:cs="宋体"/>
        </w:rPr>
        <w:t>）检测人员上岗前须获得临床基因扩增检验实验室技术人员培训证书，同时相关操作须符合《实验室生物安全通用要求》（</w:t>
      </w:r>
      <w:r>
        <w:rPr>
          <w:rFonts w:eastAsia="宋体"/>
        </w:rPr>
        <w:t>GB19489-2008</w:t>
      </w:r>
      <w:r>
        <w:rPr>
          <w:rFonts w:hint="eastAsia" w:eastAsia="宋体" w:cs="宋体"/>
        </w:rPr>
        <w:t>）。</w:t>
      </w:r>
    </w:p>
    <w:p>
      <w:pPr>
        <w:adjustRightInd w:val="0"/>
        <w:snapToGrid w:val="0"/>
        <w:spacing w:afterLines="50"/>
        <w:ind w:firstLine="482"/>
        <w:rPr>
          <w:rFonts w:eastAsia="宋体"/>
          <w:b/>
          <w:bCs/>
        </w:rPr>
      </w:pPr>
    </w:p>
    <w:p>
      <w:pPr>
        <w:pStyle w:val="2"/>
        <w:adjustRightInd w:val="0"/>
        <w:snapToGrid w:val="0"/>
        <w:spacing w:before="0" w:afterLines="50" w:line="360" w:lineRule="auto"/>
        <w:ind w:firstLine="0" w:firstLineChars="0"/>
        <w:rPr>
          <w:b/>
          <w:bCs/>
        </w:rPr>
      </w:pPr>
      <w:bookmarkStart w:id="60" w:name="_Toc371003925"/>
      <w:bookmarkStart w:id="61" w:name="_Toc389579869"/>
      <w:bookmarkStart w:id="62" w:name="_Toc363646726"/>
      <w:r>
        <w:rPr>
          <w:b/>
          <w:bCs/>
        </w:rPr>
        <w:t>8.</w:t>
      </w:r>
      <w:r>
        <w:rPr>
          <w:rFonts w:hint="eastAsia" w:cs="宋体"/>
          <w:b/>
          <w:bCs/>
        </w:rPr>
        <w:t>注意事项</w:t>
      </w:r>
      <w:bookmarkEnd w:id="60"/>
      <w:bookmarkEnd w:id="61"/>
      <w:bookmarkEnd w:id="62"/>
    </w:p>
    <w:p>
      <w:pPr>
        <w:adjustRightInd w:val="0"/>
        <w:snapToGrid w:val="0"/>
        <w:spacing w:afterLines="50"/>
        <w:ind w:firstLine="480"/>
        <w:rPr>
          <w:rFonts w:eastAsia="宋体"/>
        </w:rPr>
      </w:pPr>
      <w:r>
        <w:rPr>
          <w:rFonts w:hint="eastAsia" w:eastAsia="宋体" w:cs="宋体"/>
        </w:rPr>
        <w:t>（</w:t>
      </w:r>
      <w:r>
        <w:rPr>
          <w:rFonts w:eastAsia="宋体"/>
        </w:rPr>
        <w:t>1</w:t>
      </w:r>
      <w:r>
        <w:rPr>
          <w:rFonts w:hint="eastAsia" w:eastAsia="宋体" w:cs="宋体"/>
        </w:rPr>
        <w:t>）建立健全微阵列基因芯片检测及相关数据的保密制度，对临床微阵列基因芯片检测获得的基因诊断数据，应保证仅用于被检者本人的诊断和基于提高诊断水平所进行的医学科学研究。未经被检测者允许不得随意公开，传播被检测者检测结果。</w:t>
      </w:r>
    </w:p>
    <w:p>
      <w:pPr>
        <w:adjustRightInd w:val="0"/>
        <w:snapToGrid w:val="0"/>
        <w:spacing w:afterLines="50"/>
        <w:ind w:firstLine="480"/>
        <w:rPr>
          <w:rFonts w:eastAsia="宋体"/>
        </w:rPr>
      </w:pPr>
      <w:r>
        <w:rPr>
          <w:rFonts w:hint="eastAsia" w:eastAsia="宋体" w:cs="宋体"/>
        </w:rPr>
        <w:t>（</w:t>
      </w:r>
      <w:r>
        <w:rPr>
          <w:rFonts w:eastAsia="宋体"/>
        </w:rPr>
        <w:t>2</w:t>
      </w:r>
      <w:r>
        <w:rPr>
          <w:rFonts w:hint="eastAsia" w:eastAsia="宋体" w:cs="宋体"/>
        </w:rPr>
        <w:t>）涉及遗传基因信息的临床检测项目，被检者须签署知情同意书。</w:t>
      </w:r>
    </w:p>
    <w:p>
      <w:pPr>
        <w:adjustRightInd w:val="0"/>
        <w:snapToGrid w:val="0"/>
        <w:spacing w:afterLines="50"/>
        <w:ind w:firstLine="480"/>
        <w:rPr>
          <w:rFonts w:eastAsia="宋体"/>
        </w:rPr>
      </w:pPr>
    </w:p>
    <w:p>
      <w:pPr>
        <w:pStyle w:val="2"/>
        <w:adjustRightInd w:val="0"/>
        <w:snapToGrid w:val="0"/>
        <w:spacing w:before="0" w:afterLines="50" w:line="360" w:lineRule="auto"/>
        <w:ind w:firstLine="0" w:firstLineChars="0"/>
        <w:rPr>
          <w:b/>
          <w:bCs/>
        </w:rPr>
      </w:pPr>
      <w:bookmarkStart w:id="63" w:name="_Toc363646729"/>
      <w:bookmarkStart w:id="64" w:name="_Toc389579870"/>
      <w:bookmarkStart w:id="65" w:name="_Toc363924202"/>
      <w:bookmarkStart w:id="66" w:name="_Toc371003928"/>
      <w:r>
        <w:rPr>
          <w:b/>
          <w:bCs/>
        </w:rPr>
        <w:t>9.</w:t>
      </w:r>
      <w:r>
        <w:rPr>
          <w:rFonts w:hint="eastAsia" w:cs="宋体"/>
          <w:b/>
          <w:bCs/>
        </w:rPr>
        <w:t>参考文献</w:t>
      </w:r>
      <w:bookmarkEnd w:id="63"/>
      <w:bookmarkEnd w:id="64"/>
      <w:bookmarkEnd w:id="65"/>
      <w:bookmarkEnd w:id="66"/>
    </w:p>
    <w:p>
      <w:pPr>
        <w:adjustRightInd w:val="0"/>
        <w:snapToGrid w:val="0"/>
        <w:spacing w:afterLines="50"/>
        <w:ind w:firstLine="480"/>
        <w:rPr>
          <w:rFonts w:eastAsia="宋体"/>
        </w:rPr>
      </w:pPr>
      <w:bookmarkStart w:id="67" w:name="_Toc79482675"/>
      <w:r>
        <w:rPr>
          <w:rFonts w:eastAsia="宋体"/>
        </w:rPr>
        <w:t>[1] GB/T 27990-2011</w:t>
      </w:r>
      <w:r>
        <w:rPr>
          <w:rFonts w:hint="eastAsia" w:eastAsia="宋体" w:cs="宋体"/>
        </w:rPr>
        <w:t>，生物芯片基本术语。</w:t>
      </w:r>
    </w:p>
    <w:p>
      <w:pPr>
        <w:adjustRightInd w:val="0"/>
        <w:snapToGrid w:val="0"/>
        <w:spacing w:afterLines="50"/>
        <w:ind w:firstLine="480"/>
        <w:rPr>
          <w:rFonts w:eastAsia="宋体"/>
        </w:rPr>
      </w:pPr>
      <w:r>
        <w:rPr>
          <w:rFonts w:eastAsia="宋体"/>
        </w:rPr>
        <w:t>[2] GB/T 28639-2012</w:t>
      </w:r>
      <w:r>
        <w:rPr>
          <w:rFonts w:hint="eastAsia" w:eastAsia="宋体" w:cs="宋体"/>
        </w:rPr>
        <w:t>，</w:t>
      </w:r>
      <w:r>
        <w:rPr>
          <w:rFonts w:eastAsia="宋体"/>
        </w:rPr>
        <w:t>DNA</w:t>
      </w:r>
      <w:r>
        <w:rPr>
          <w:rFonts w:hint="eastAsia" w:eastAsia="宋体" w:cs="宋体"/>
        </w:rPr>
        <w:t>微阵列芯片通用技术条件。</w:t>
      </w:r>
    </w:p>
    <w:p>
      <w:pPr>
        <w:adjustRightInd w:val="0"/>
        <w:snapToGrid w:val="0"/>
        <w:spacing w:afterLines="50"/>
        <w:ind w:firstLine="480"/>
        <w:rPr>
          <w:rFonts w:eastAsia="宋体"/>
        </w:rPr>
      </w:pPr>
      <w:r>
        <w:rPr>
          <w:rFonts w:eastAsia="宋体"/>
        </w:rPr>
        <w:t>[3] GB 19489-</w:t>
      </w:r>
      <w:bookmarkEnd w:id="67"/>
      <w:r>
        <w:rPr>
          <w:rFonts w:eastAsia="宋体"/>
        </w:rPr>
        <w:t>2008</w:t>
      </w:r>
      <w:r>
        <w:rPr>
          <w:rFonts w:hint="eastAsia" w:eastAsia="宋体" w:cs="宋体"/>
        </w:rPr>
        <w:t>，实验室生物安全通用要求。</w:t>
      </w:r>
    </w:p>
    <w:p>
      <w:pPr>
        <w:adjustRightInd w:val="0"/>
        <w:snapToGrid w:val="0"/>
        <w:spacing w:afterLines="50"/>
        <w:ind w:firstLine="480"/>
        <w:rPr>
          <w:rFonts w:eastAsia="宋体"/>
        </w:rPr>
      </w:pPr>
      <w:r>
        <w:rPr>
          <w:rFonts w:eastAsia="宋体"/>
        </w:rPr>
        <w:t xml:space="preserve">[4] </w:t>
      </w:r>
      <w:r>
        <w:rPr>
          <w:rFonts w:hint="eastAsia" w:eastAsia="宋体" w:cs="宋体"/>
        </w:rPr>
        <w:t>卫生部办公厅。基因芯片诊断技术管理规范</w:t>
      </w:r>
      <w:r>
        <w:rPr>
          <w:rFonts w:eastAsia="宋体"/>
        </w:rPr>
        <w:t>(</w:t>
      </w:r>
      <w:r>
        <w:rPr>
          <w:rFonts w:hint="eastAsia" w:eastAsia="宋体" w:cs="宋体"/>
        </w:rPr>
        <w:t>试行</w:t>
      </w:r>
      <w:r>
        <w:rPr>
          <w:rFonts w:eastAsia="宋体"/>
        </w:rPr>
        <w:t>)</w:t>
      </w:r>
      <w:r>
        <w:rPr>
          <w:rFonts w:hint="eastAsia" w:eastAsia="宋体" w:cs="宋体"/>
        </w:rPr>
        <w:t>。</w:t>
      </w:r>
      <w:r>
        <w:rPr>
          <w:rFonts w:eastAsia="宋体"/>
        </w:rPr>
        <w:t xml:space="preserve"> 2010</w:t>
      </w:r>
    </w:p>
    <w:p>
      <w:pPr>
        <w:adjustRightInd w:val="0"/>
        <w:snapToGrid w:val="0"/>
        <w:spacing w:afterLines="50"/>
        <w:ind w:firstLine="480"/>
        <w:rPr>
          <w:rFonts w:eastAsia="宋体"/>
        </w:rPr>
      </w:pPr>
      <w:r>
        <w:rPr>
          <w:rFonts w:eastAsia="宋体"/>
        </w:rPr>
        <w:t xml:space="preserve">[5] </w:t>
      </w:r>
      <w:r>
        <w:rPr>
          <w:rFonts w:hint="eastAsia" w:eastAsia="宋体" w:cs="宋体"/>
        </w:rPr>
        <w:t>卫生部办公厅。医疗机构临床基因扩增检验实验室管理办法。</w:t>
      </w:r>
      <w:r>
        <w:rPr>
          <w:rFonts w:eastAsia="宋体"/>
        </w:rPr>
        <w:t>2010</w:t>
      </w:r>
    </w:p>
    <w:p>
      <w:pPr>
        <w:adjustRightInd w:val="0"/>
        <w:snapToGrid w:val="0"/>
        <w:spacing w:afterLines="50"/>
        <w:ind w:firstLine="480"/>
        <w:rPr>
          <w:rFonts w:eastAsia="宋体"/>
        </w:rPr>
      </w:pPr>
      <w:r>
        <w:rPr>
          <w:rFonts w:eastAsia="宋体"/>
        </w:rPr>
        <w:t xml:space="preserve">[6] </w:t>
      </w:r>
      <w:r>
        <w:rPr>
          <w:rFonts w:hint="eastAsia" w:eastAsia="宋体" w:cs="宋体"/>
        </w:rPr>
        <w:t>卫生部办公厅。新生儿疾病筛查技术规范（</w:t>
      </w:r>
      <w:r>
        <w:rPr>
          <w:rFonts w:eastAsia="宋体"/>
        </w:rPr>
        <w:t>2010</w:t>
      </w:r>
      <w:r>
        <w:rPr>
          <w:rFonts w:hint="eastAsia" w:eastAsia="宋体" w:cs="宋体"/>
        </w:rPr>
        <w:t>年版）。</w:t>
      </w:r>
      <w:r>
        <w:rPr>
          <w:rFonts w:eastAsia="宋体"/>
        </w:rPr>
        <w:t>2010</w:t>
      </w:r>
    </w:p>
    <w:p>
      <w:pPr>
        <w:adjustRightInd w:val="0"/>
        <w:snapToGrid w:val="0"/>
        <w:spacing w:afterLines="50"/>
        <w:ind w:firstLine="480"/>
        <w:rPr>
          <w:rFonts w:eastAsia="宋体"/>
        </w:rPr>
      </w:pPr>
      <w:r>
        <w:rPr>
          <w:rFonts w:eastAsia="宋体"/>
        </w:rPr>
        <w:t xml:space="preserve">[7] </w:t>
      </w:r>
      <w:r>
        <w:rPr>
          <w:rFonts w:hint="eastAsia" w:eastAsia="宋体" w:cs="宋体"/>
        </w:rPr>
        <w:t>卫生部医政司。全国临床检验操作规程</w:t>
      </w:r>
      <w:r>
        <w:rPr>
          <w:rFonts w:eastAsia="宋体"/>
        </w:rPr>
        <w:t>(</w:t>
      </w:r>
      <w:r>
        <w:rPr>
          <w:rFonts w:hint="eastAsia" w:eastAsia="宋体" w:cs="宋体"/>
        </w:rPr>
        <w:t>第三版</w:t>
      </w:r>
      <w:r>
        <w:rPr>
          <w:rFonts w:eastAsia="宋体"/>
        </w:rPr>
        <w:t>)</w:t>
      </w:r>
      <w:r>
        <w:rPr>
          <w:rFonts w:hint="eastAsia" w:eastAsia="宋体" w:cs="宋体"/>
        </w:rPr>
        <w:t>。南京：东南大学出版社，</w:t>
      </w:r>
      <w:r>
        <w:rPr>
          <w:rFonts w:eastAsia="宋体"/>
        </w:rPr>
        <w:t>2006</w:t>
      </w:r>
    </w:p>
    <w:p>
      <w:pPr>
        <w:adjustRightInd w:val="0"/>
        <w:snapToGrid w:val="0"/>
        <w:spacing w:afterLines="50"/>
        <w:ind w:firstLine="480"/>
        <w:rPr>
          <w:rFonts w:eastAsia="宋体"/>
        </w:rPr>
      </w:pPr>
      <w:r>
        <w:rPr>
          <w:rFonts w:eastAsia="宋体"/>
        </w:rPr>
        <w:t xml:space="preserve">[9] </w:t>
      </w:r>
      <w:r>
        <w:rPr>
          <w:rFonts w:hint="eastAsia" w:eastAsia="宋体" w:cs="宋体"/>
        </w:rPr>
        <w:t>卫计委医政医管局。个体化医学检测质量保证指南。待批准。</w:t>
      </w:r>
    </w:p>
    <w:p>
      <w:pPr>
        <w:adjustRightInd w:val="0"/>
        <w:snapToGrid w:val="0"/>
        <w:spacing w:afterLines="50"/>
        <w:ind w:firstLine="480"/>
        <w:rPr>
          <w:rFonts w:eastAsia="宋体"/>
        </w:rPr>
      </w:pPr>
      <w:r>
        <w:rPr>
          <w:rFonts w:eastAsia="宋体"/>
        </w:rPr>
        <w:t>[10] Clinical and laboratory standands institute (CLSI). Diagnostic nucleic acid microarrays, approved guideline. CLSI document MM12-A (ISBN 1-56238-608-5). 2006</w:t>
      </w:r>
    </w:p>
    <w:p>
      <w:pPr>
        <w:adjustRightInd w:val="0"/>
        <w:snapToGrid w:val="0"/>
        <w:spacing w:afterLines="50"/>
        <w:ind w:firstLine="480"/>
        <w:rPr>
          <w:rFonts w:eastAsia="宋体"/>
        </w:rPr>
      </w:pPr>
      <w:r>
        <w:rPr>
          <w:rFonts w:eastAsia="宋体"/>
        </w:rPr>
        <w:t>[11] Clinical and laboratory standands institute (CLSI). Collection, transport, preparation, and storage of specimens for molecular methods; approved guideline. CLSI document MM13-A (ISBN 1-56238-591-7). 2005</w:t>
      </w:r>
    </w:p>
    <w:p>
      <w:pPr>
        <w:adjustRightInd w:val="0"/>
        <w:snapToGrid w:val="0"/>
        <w:spacing w:afterLines="50"/>
        <w:ind w:firstLine="480"/>
        <w:rPr>
          <w:rFonts w:eastAsia="宋体"/>
        </w:rPr>
      </w:pPr>
      <w:r>
        <w:rPr>
          <w:rFonts w:eastAsia="宋体"/>
        </w:rPr>
        <w:t xml:space="preserve">[12] </w:t>
      </w:r>
      <w:r>
        <w:rPr>
          <w:rFonts w:hint="eastAsia" w:eastAsia="宋体" w:cs="宋体"/>
        </w:rPr>
        <w:t>邢婉丽，程京。生物芯片技术教程。北京：清华大学出版社，</w:t>
      </w:r>
      <w:r>
        <w:rPr>
          <w:rFonts w:eastAsia="宋体"/>
        </w:rPr>
        <w:t>2004</w:t>
      </w:r>
    </w:p>
    <w:p>
      <w:pPr>
        <w:adjustRightInd w:val="0"/>
        <w:snapToGrid w:val="0"/>
        <w:spacing w:afterLines="50"/>
        <w:ind w:firstLine="480"/>
        <w:rPr>
          <w:rFonts w:eastAsia="宋体"/>
        </w:rPr>
      </w:pPr>
    </w:p>
    <w:p>
      <w:pPr>
        <w:ind w:firstLine="480"/>
      </w:pPr>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 PAGE   \* MERGEFORMAT </w:instrText>
    </w:r>
    <w:r>
      <w:fldChar w:fldCharType="separate"/>
    </w:r>
    <w:r>
      <w:rPr>
        <w:lang w:val="zh-CN"/>
      </w:rPr>
      <w:t>3</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709C"/>
    <w:rsid w:val="008F648C"/>
    <w:rsid w:val="00A73E8B"/>
    <w:rsid w:val="00C42721"/>
    <w:rsid w:val="00D5709C"/>
    <w:rsid w:val="590B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99" w:name="toc 2"/>
    <w:lsdException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2"/>
    <w:basedOn w:val="1"/>
    <w:next w:val="1"/>
    <w:link w:val="13"/>
    <w:qFormat/>
    <w:uiPriority w:val="99"/>
    <w:pPr>
      <w:keepNext/>
      <w:keepLines/>
      <w:spacing w:before="260" w:after="260" w:line="416" w:lineRule="auto"/>
      <w:outlineLvl w:val="1"/>
    </w:pPr>
    <w:rPr>
      <w:rFonts w:eastAsia="宋体"/>
      <w:kern w:val="0"/>
      <w:sz w:val="32"/>
      <w:szCs w:val="32"/>
    </w:rPr>
  </w:style>
  <w:style w:type="paragraph" w:styleId="3">
    <w:name w:val="heading 3"/>
    <w:basedOn w:val="1"/>
    <w:next w:val="1"/>
    <w:link w:val="14"/>
    <w:qFormat/>
    <w:uiPriority w:val="99"/>
    <w:pPr>
      <w:keepNext/>
      <w:keepLines/>
      <w:spacing w:before="100" w:beforeAutospacing="1" w:after="100" w:afterAutospacing="1" w:line="300" w:lineRule="auto"/>
      <w:outlineLvl w:val="2"/>
    </w:pPr>
    <w:rPr>
      <w:rFonts w:eastAsia="楷体_GB2312"/>
      <w:kern w:val="0"/>
      <w:sz w:val="32"/>
      <w:szCs w:val="32"/>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toc 3"/>
    <w:basedOn w:val="1"/>
    <w:next w:val="1"/>
    <w:semiHidden/>
    <w:uiPriority w:val="99"/>
    <w:pPr>
      <w:tabs>
        <w:tab w:val="right" w:leader="dot" w:pos="8296"/>
      </w:tabs>
      <w:ind w:left="960" w:leftChars="400"/>
    </w:pPr>
  </w:style>
  <w:style w:type="paragraph" w:styleId="5">
    <w:name w:val="footer"/>
    <w:basedOn w:val="1"/>
    <w:link w:val="12"/>
    <w:unhideWhenUsed/>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6">
    <w:name w:val="header"/>
    <w:basedOn w:val="1"/>
    <w:link w:val="11"/>
    <w:unhideWhenUsed/>
    <w:uiPriority w:val="99"/>
    <w:pPr>
      <w:pBdr>
        <w:bottom w:val="single" w:color="auto" w:sz="6" w:space="0"/>
      </w:pBdr>
      <w:tabs>
        <w:tab w:val="center" w:pos="4153"/>
        <w:tab w:val="right" w:pos="8306"/>
      </w:tabs>
      <w:snapToGrid w:val="0"/>
      <w:spacing w:line="240" w:lineRule="auto"/>
      <w:ind w:firstLine="360" w:firstLineChars="0"/>
      <w:jc w:val="center"/>
    </w:pPr>
    <w:rPr>
      <w:rFonts w:asciiTheme="minorHAnsi" w:hAnsiTheme="minorHAnsi" w:eastAsiaTheme="minorEastAsia" w:cstheme="minorBidi"/>
      <w:sz w:val="18"/>
      <w:szCs w:val="18"/>
    </w:rPr>
  </w:style>
  <w:style w:type="paragraph" w:styleId="7">
    <w:name w:val="toc 2"/>
    <w:basedOn w:val="1"/>
    <w:next w:val="1"/>
    <w:semiHidden/>
    <w:uiPriority w:val="99"/>
    <w:pPr>
      <w:tabs>
        <w:tab w:val="left" w:pos="810"/>
        <w:tab w:val="right" w:leader="dot" w:pos="8296"/>
      </w:tabs>
      <w:spacing w:line="480" w:lineRule="auto"/>
      <w:ind w:left="480" w:leftChars="200" w:firstLine="480"/>
      <w:jc w:val="left"/>
    </w:pPr>
  </w:style>
  <w:style w:type="character" w:styleId="9">
    <w:name w:val="Hyperlink"/>
    <w:basedOn w:val="8"/>
    <w:uiPriority w:val="99"/>
    <w:rPr>
      <w:color w:val="0000FF"/>
      <w:u w:val="single"/>
    </w:rPr>
  </w:style>
  <w:style w:type="character" w:customStyle="1" w:styleId="11">
    <w:name w:val="页眉 Char"/>
    <w:basedOn w:val="8"/>
    <w:link w:val="6"/>
    <w:qFormat/>
    <w:uiPriority w:val="99"/>
    <w:rPr>
      <w:sz w:val="18"/>
      <w:szCs w:val="18"/>
    </w:rPr>
  </w:style>
  <w:style w:type="character" w:customStyle="1" w:styleId="12">
    <w:name w:val="页脚 Char"/>
    <w:basedOn w:val="8"/>
    <w:link w:val="5"/>
    <w:uiPriority w:val="99"/>
    <w:rPr>
      <w:sz w:val="18"/>
      <w:szCs w:val="18"/>
    </w:rPr>
  </w:style>
  <w:style w:type="character" w:customStyle="1" w:styleId="13">
    <w:name w:val="标题 2 Char"/>
    <w:basedOn w:val="8"/>
    <w:link w:val="2"/>
    <w:uiPriority w:val="99"/>
    <w:rPr>
      <w:rFonts w:ascii="Times New Roman" w:hAnsi="Times New Roman" w:eastAsia="宋体" w:cs="Times New Roman"/>
      <w:kern w:val="0"/>
      <w:sz w:val="32"/>
      <w:szCs w:val="32"/>
    </w:rPr>
  </w:style>
  <w:style w:type="character" w:customStyle="1" w:styleId="14">
    <w:name w:val="标题 3 Char"/>
    <w:basedOn w:val="8"/>
    <w:link w:val="3"/>
    <w:uiPriority w:val="99"/>
    <w:rPr>
      <w:rFonts w:ascii="Times New Roman" w:hAnsi="Times New Roman" w:eastAsia="楷体_GB2312" w:cs="Times New Roman"/>
      <w:kern w:val="0"/>
      <w:sz w:val="32"/>
      <w:szCs w:val="32"/>
    </w:r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923</Words>
  <Characters>5266</Characters>
  <Lines>43</Lines>
  <Paragraphs>12</Paragraphs>
  <TotalTime>0</TotalTime>
  <ScaleCrop>false</ScaleCrop>
  <LinksUpToDate>false</LinksUpToDate>
  <CharactersWithSpaces>6177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2017-12-01T02:50:00Z</dcterms:created>
  <dc:creator>yumeng</dc:creator>
  <cp:lastModifiedBy>徐啸晨</cp:lastModifiedBy>
  <dcterms:modified xsi:type="dcterms:W3CDTF">2017-12-01T03:23:47Z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