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1D" w:rsidRDefault="007A38A7" w:rsidP="001B2D89">
      <w:pPr>
        <w:spacing w:line="600" w:lineRule="exact"/>
        <w:rPr>
          <w:rFonts w:ascii="黑体" w:eastAsia="黑体" w:hAnsi="黑体"/>
          <w:sz w:val="32"/>
          <w:szCs w:val="32"/>
        </w:rPr>
      </w:pPr>
      <w:r w:rsidRPr="000845F6">
        <w:rPr>
          <w:rFonts w:ascii="黑体" w:eastAsia="黑体" w:hAnsi="黑体" w:hint="eastAsia"/>
          <w:sz w:val="32"/>
          <w:szCs w:val="32"/>
        </w:rPr>
        <w:t>附件</w:t>
      </w:r>
    </w:p>
    <w:p w:rsidR="001B2D89" w:rsidRPr="000F50B1" w:rsidRDefault="001B2D89" w:rsidP="008164AD">
      <w:pPr>
        <w:spacing w:line="600" w:lineRule="exact"/>
        <w:jc w:val="center"/>
        <w:rPr>
          <w:rFonts w:ascii="方正小标宋简体" w:eastAsia="方正小标宋简体"/>
          <w:sz w:val="44"/>
          <w:szCs w:val="44"/>
        </w:rPr>
      </w:pPr>
    </w:p>
    <w:p w:rsidR="001B2D89" w:rsidRDefault="000F50B1" w:rsidP="008164AD">
      <w:pPr>
        <w:spacing w:line="600" w:lineRule="exact"/>
        <w:jc w:val="center"/>
        <w:rPr>
          <w:rFonts w:ascii="方正小标宋简体" w:eastAsia="方正小标宋简体"/>
          <w:sz w:val="44"/>
          <w:szCs w:val="44"/>
        </w:rPr>
      </w:pPr>
      <w:r w:rsidRPr="000F50B1">
        <w:rPr>
          <w:rFonts w:ascii="方正小标宋简体" w:eastAsia="方正小标宋简体" w:hint="eastAsia"/>
          <w:sz w:val="44"/>
          <w:szCs w:val="44"/>
        </w:rPr>
        <w:t>甲巯咪唑片</w:t>
      </w:r>
      <w:r w:rsidR="001B2D89" w:rsidRPr="000F50B1">
        <w:rPr>
          <w:rFonts w:ascii="方正小标宋简体" w:eastAsia="方正小标宋简体" w:hint="eastAsia"/>
          <w:sz w:val="44"/>
          <w:szCs w:val="44"/>
        </w:rPr>
        <w:t>说明书修订要求</w:t>
      </w:r>
    </w:p>
    <w:p w:rsidR="00EC589F" w:rsidRPr="000F50B1" w:rsidRDefault="00EC589F" w:rsidP="008164AD">
      <w:pPr>
        <w:spacing w:line="600" w:lineRule="exact"/>
        <w:jc w:val="center"/>
        <w:rPr>
          <w:rFonts w:ascii="方正小标宋简体" w:eastAsia="方正小标宋简体"/>
          <w:sz w:val="44"/>
          <w:szCs w:val="44"/>
        </w:rPr>
      </w:pPr>
    </w:p>
    <w:p w:rsidR="000F50B1" w:rsidRPr="00EC589F" w:rsidRDefault="000F50B1" w:rsidP="008164AD">
      <w:pPr>
        <w:spacing w:line="600" w:lineRule="exact"/>
        <w:ind w:firstLineChars="200" w:firstLine="640"/>
        <w:rPr>
          <w:rFonts w:ascii="黑体" w:eastAsia="黑体" w:hAnsi="黑体"/>
          <w:sz w:val="32"/>
          <w:szCs w:val="32"/>
        </w:rPr>
      </w:pPr>
      <w:r w:rsidRPr="00EC589F">
        <w:rPr>
          <w:rFonts w:ascii="黑体" w:eastAsia="黑体" w:hAnsi="黑体" w:hint="eastAsia"/>
          <w:sz w:val="32"/>
          <w:szCs w:val="32"/>
        </w:rPr>
        <w:t>一、【不良反应】</w:t>
      </w:r>
      <w:r w:rsidRPr="00EC589F">
        <w:rPr>
          <w:rFonts w:ascii="黑体" w:eastAsia="黑体" w:hAnsi="黑体" w:hint="eastAsia"/>
          <w:color w:val="000000"/>
          <w:sz w:val="32"/>
          <w:szCs w:val="32"/>
        </w:rPr>
        <w:t>项</w:t>
      </w:r>
      <w:r w:rsidRPr="00EC589F">
        <w:rPr>
          <w:rFonts w:ascii="黑体" w:eastAsia="黑体" w:hAnsi="黑体" w:hint="eastAsia"/>
          <w:sz w:val="32"/>
          <w:szCs w:val="32"/>
        </w:rPr>
        <w:t>应包含以下内容</w:t>
      </w:r>
    </w:p>
    <w:p w:rsidR="000F50B1" w:rsidRPr="00EC589F" w:rsidRDefault="000F50B1" w:rsidP="008164AD">
      <w:pPr>
        <w:spacing w:line="600" w:lineRule="exact"/>
        <w:ind w:firstLineChars="200" w:firstLine="640"/>
        <w:rPr>
          <w:rFonts w:eastAsia="仿宋_GB2312"/>
          <w:sz w:val="32"/>
          <w:szCs w:val="32"/>
        </w:rPr>
      </w:pPr>
      <w:r w:rsidRPr="00EC589F">
        <w:rPr>
          <w:rFonts w:eastAsia="仿宋_GB2312"/>
          <w:sz w:val="32"/>
          <w:szCs w:val="32"/>
        </w:rPr>
        <w:t>1.</w:t>
      </w:r>
      <w:r w:rsidRPr="00EC589F">
        <w:rPr>
          <w:rFonts w:eastAsia="仿宋_GB2312" w:hint="eastAsia"/>
          <w:sz w:val="32"/>
          <w:szCs w:val="32"/>
        </w:rPr>
        <w:t>血液和淋巴系统：较多见白细胞减少；粒细胞减少；较少见严重的粒细胞缺乏症（可表现为口腔炎、咽炎、发热等）、血小板减少、全血细胞减少、凝血酶原或凝血因子</w:t>
      </w:r>
      <w:r w:rsidR="009910FA" w:rsidRPr="008164AD">
        <w:rPr>
          <w:rFonts w:ascii="仿宋" w:eastAsia="仿宋" w:hAnsi="仿宋" w:cs="宋体" w:hint="eastAsia"/>
          <w:sz w:val="32"/>
          <w:szCs w:val="32"/>
        </w:rPr>
        <w:t>Ⅶ</w:t>
      </w:r>
      <w:r w:rsidRPr="00EC589F">
        <w:rPr>
          <w:rFonts w:eastAsia="仿宋_GB2312" w:hint="eastAsia"/>
          <w:sz w:val="32"/>
          <w:szCs w:val="32"/>
        </w:rPr>
        <w:t>减少。</w:t>
      </w:r>
    </w:p>
    <w:p w:rsidR="000F50B1" w:rsidRPr="00EC589F" w:rsidRDefault="000F50B1" w:rsidP="008164AD">
      <w:pPr>
        <w:spacing w:line="600" w:lineRule="exact"/>
        <w:ind w:firstLineChars="200" w:firstLine="640"/>
        <w:rPr>
          <w:rFonts w:eastAsia="仿宋_GB2312"/>
          <w:sz w:val="32"/>
          <w:szCs w:val="32"/>
        </w:rPr>
      </w:pPr>
      <w:r w:rsidRPr="00EC589F">
        <w:rPr>
          <w:rFonts w:eastAsia="仿宋_GB2312"/>
          <w:sz w:val="32"/>
          <w:szCs w:val="32"/>
        </w:rPr>
        <w:t>2.</w:t>
      </w:r>
      <w:r w:rsidRPr="00EC589F">
        <w:rPr>
          <w:rFonts w:eastAsia="仿宋_GB2312" w:hint="eastAsia"/>
          <w:sz w:val="32"/>
          <w:szCs w:val="32"/>
        </w:rPr>
        <w:t>肝胆系统：可致肝损害，碱性磷酸酶（</w:t>
      </w:r>
      <w:r w:rsidRPr="00EC589F">
        <w:rPr>
          <w:rFonts w:eastAsia="仿宋_GB2312"/>
          <w:sz w:val="32"/>
          <w:szCs w:val="32"/>
        </w:rPr>
        <w:t>ALP</w:t>
      </w:r>
      <w:r w:rsidRPr="00EC589F">
        <w:rPr>
          <w:rFonts w:eastAsia="仿宋_GB2312" w:hint="eastAsia"/>
          <w:sz w:val="32"/>
          <w:szCs w:val="32"/>
        </w:rPr>
        <w:t>）、丙氨酸氨基转移酶（</w:t>
      </w:r>
      <w:r w:rsidRPr="00EC589F">
        <w:rPr>
          <w:rFonts w:eastAsia="仿宋_GB2312"/>
          <w:sz w:val="32"/>
          <w:szCs w:val="32"/>
        </w:rPr>
        <w:t>ALT</w:t>
      </w:r>
      <w:r w:rsidRPr="00EC589F">
        <w:rPr>
          <w:rFonts w:eastAsia="仿宋_GB2312" w:hint="eastAsia"/>
          <w:sz w:val="32"/>
          <w:szCs w:val="32"/>
        </w:rPr>
        <w:t>）、门冬氨酸氨基转移酶（</w:t>
      </w:r>
      <w:r w:rsidRPr="00EC589F">
        <w:rPr>
          <w:rFonts w:eastAsia="仿宋_GB2312"/>
          <w:sz w:val="32"/>
          <w:szCs w:val="32"/>
        </w:rPr>
        <w:t>AST</w:t>
      </w:r>
      <w:r w:rsidRPr="00EC589F">
        <w:rPr>
          <w:rFonts w:eastAsia="仿宋_GB2312" w:hint="eastAsia"/>
          <w:sz w:val="32"/>
          <w:szCs w:val="32"/>
        </w:rPr>
        <w:t>）、总胆红素（</w:t>
      </w:r>
      <w:r w:rsidRPr="00EC589F">
        <w:rPr>
          <w:rFonts w:eastAsia="仿宋_GB2312"/>
          <w:sz w:val="32"/>
          <w:szCs w:val="32"/>
        </w:rPr>
        <w:t>T-BIL</w:t>
      </w:r>
      <w:r w:rsidRPr="00EC589F">
        <w:rPr>
          <w:rFonts w:eastAsia="仿宋_GB2312" w:hint="eastAsia"/>
          <w:sz w:val="32"/>
          <w:szCs w:val="32"/>
        </w:rPr>
        <w:t>）、直接胆红素（</w:t>
      </w:r>
      <w:r w:rsidRPr="00EC589F">
        <w:rPr>
          <w:rFonts w:eastAsia="仿宋_GB2312"/>
          <w:sz w:val="32"/>
          <w:szCs w:val="32"/>
        </w:rPr>
        <w:t>D-BIL</w:t>
      </w:r>
      <w:r w:rsidRPr="00EC589F">
        <w:rPr>
          <w:rFonts w:eastAsia="仿宋_GB2312" w:hint="eastAsia"/>
          <w:sz w:val="32"/>
          <w:szCs w:val="32"/>
        </w:rPr>
        <w:t>）、间接胆红素（</w:t>
      </w:r>
      <w:r w:rsidRPr="00EC589F">
        <w:rPr>
          <w:rFonts w:eastAsia="仿宋_GB2312"/>
          <w:sz w:val="32"/>
          <w:szCs w:val="32"/>
        </w:rPr>
        <w:t>I-BIL</w:t>
      </w:r>
      <w:r w:rsidRPr="00EC589F">
        <w:rPr>
          <w:rFonts w:eastAsia="仿宋_GB2312" w:hint="eastAsia"/>
          <w:sz w:val="32"/>
          <w:szCs w:val="32"/>
        </w:rPr>
        <w:t>）等实验室指标升高；罕见肝衰竭。</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3.</w:t>
      </w:r>
      <w:r w:rsidRPr="00EC589F">
        <w:rPr>
          <w:rFonts w:eastAsia="仿宋_GB2312" w:hint="eastAsia"/>
          <w:sz w:val="32"/>
          <w:szCs w:val="32"/>
        </w:rPr>
        <w:t>皮肤及其附件：较多见皮疹、瘙痒；脱发；罕见剥脱性皮炎。</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4.</w:t>
      </w:r>
      <w:r w:rsidRPr="00EC589F">
        <w:rPr>
          <w:rFonts w:eastAsia="仿宋_GB2312" w:hint="eastAsia"/>
          <w:sz w:val="32"/>
          <w:szCs w:val="32"/>
        </w:rPr>
        <w:t>胃肠系统：恶心、呕吐、厌食、上腹部不适；有急性唾液腺肿胀的个案报道。</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5.</w:t>
      </w:r>
      <w:r w:rsidRPr="00EC589F">
        <w:rPr>
          <w:rFonts w:eastAsia="仿宋_GB2312" w:hint="eastAsia"/>
          <w:sz w:val="32"/>
          <w:szCs w:val="32"/>
        </w:rPr>
        <w:t>内分泌系统：有胰岛素自身免疫综合征（伴有血糖水平显著下降）的不良反应报告。</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6.</w:t>
      </w:r>
      <w:r w:rsidRPr="00EC589F">
        <w:rPr>
          <w:rFonts w:eastAsia="仿宋_GB2312" w:hint="eastAsia"/>
          <w:sz w:val="32"/>
          <w:szCs w:val="32"/>
        </w:rPr>
        <w:t>肌肉</w:t>
      </w:r>
      <w:r w:rsidR="00E21288" w:rsidRPr="00EC589F">
        <w:rPr>
          <w:rFonts w:eastAsia="仿宋_GB2312" w:hint="eastAsia"/>
          <w:color w:val="000000"/>
          <w:sz w:val="32"/>
          <w:szCs w:val="32"/>
        </w:rPr>
        <w:t>骨骼</w:t>
      </w:r>
      <w:r w:rsidRPr="00EC589F">
        <w:rPr>
          <w:rFonts w:eastAsia="仿宋_GB2312" w:hint="eastAsia"/>
          <w:sz w:val="32"/>
          <w:szCs w:val="32"/>
        </w:rPr>
        <w:t>系统：关节痛、肌痛。</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7.</w:t>
      </w:r>
      <w:r w:rsidRPr="00EC589F">
        <w:rPr>
          <w:rFonts w:eastAsia="仿宋_GB2312" w:hint="eastAsia"/>
          <w:sz w:val="32"/>
          <w:szCs w:val="32"/>
        </w:rPr>
        <w:t>神经系统：头晕、头痛、味觉紊乱（味觉障碍、味觉减退、味觉丧失）；有神经炎、多发性神经病的个案报道。</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lastRenderedPageBreak/>
        <w:t>8.</w:t>
      </w:r>
      <w:r w:rsidRPr="00EC589F">
        <w:rPr>
          <w:rFonts w:eastAsia="仿宋_GB2312" w:hint="eastAsia"/>
          <w:sz w:val="32"/>
          <w:szCs w:val="32"/>
        </w:rPr>
        <w:t>其他：抗中性粒细胞胞浆抗体相关性小血管炎（可表现为肾炎及累及肾脏的小血管炎、肺浸润或肺泡出血、皮肤溃疡和关节疼痛等）、红斑狼疮样综合征、间质性肺炎、药物热。</w:t>
      </w:r>
    </w:p>
    <w:p w:rsidR="000F50B1" w:rsidRPr="00EC589F" w:rsidRDefault="000F50B1" w:rsidP="008164AD">
      <w:pPr>
        <w:spacing w:line="610" w:lineRule="exact"/>
        <w:ind w:firstLineChars="200" w:firstLine="640"/>
        <w:rPr>
          <w:rFonts w:ascii="黑体" w:eastAsia="黑体" w:hAnsi="黑体"/>
          <w:sz w:val="32"/>
          <w:szCs w:val="32"/>
        </w:rPr>
      </w:pPr>
      <w:r w:rsidRPr="00EC589F">
        <w:rPr>
          <w:rFonts w:ascii="黑体" w:eastAsia="黑体" w:hAnsi="黑体" w:hint="eastAsia"/>
          <w:sz w:val="32"/>
          <w:szCs w:val="32"/>
        </w:rPr>
        <w:t>二、【禁忌】项应包含以下内容</w:t>
      </w:r>
    </w:p>
    <w:p w:rsidR="000F50B1" w:rsidRPr="00EC589F" w:rsidRDefault="000F50B1" w:rsidP="008164AD">
      <w:pPr>
        <w:tabs>
          <w:tab w:val="left" w:pos="5250"/>
        </w:tabs>
        <w:spacing w:line="610" w:lineRule="exact"/>
        <w:ind w:firstLineChars="200" w:firstLine="640"/>
        <w:rPr>
          <w:rFonts w:eastAsia="仿宋_GB2312"/>
          <w:sz w:val="32"/>
          <w:szCs w:val="32"/>
        </w:rPr>
      </w:pPr>
      <w:r w:rsidRPr="00EC589F">
        <w:rPr>
          <w:rFonts w:eastAsia="仿宋_GB2312"/>
          <w:sz w:val="32"/>
          <w:szCs w:val="32"/>
        </w:rPr>
        <w:t>1.</w:t>
      </w:r>
      <w:r w:rsidRPr="00EC589F">
        <w:rPr>
          <w:rFonts w:eastAsia="仿宋_GB2312" w:hint="eastAsia"/>
          <w:sz w:val="32"/>
          <w:szCs w:val="32"/>
        </w:rPr>
        <w:t>哺乳期妇女禁用。</w:t>
      </w:r>
      <w:r w:rsidR="00E21288" w:rsidRPr="00EC589F">
        <w:rPr>
          <w:rFonts w:eastAsia="仿宋_GB2312"/>
          <w:sz w:val="32"/>
          <w:szCs w:val="32"/>
        </w:rPr>
        <w:tab/>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2.</w:t>
      </w:r>
      <w:r w:rsidRPr="00EC589F">
        <w:rPr>
          <w:rFonts w:eastAsia="仿宋_GB2312" w:hint="eastAsia"/>
          <w:sz w:val="32"/>
          <w:szCs w:val="32"/>
        </w:rPr>
        <w:t>对甲巯咪唑、</w:t>
      </w:r>
      <w:r w:rsidR="00022AE1" w:rsidRPr="00EC589F">
        <w:rPr>
          <w:rFonts w:eastAsia="仿宋_GB2312" w:hint="eastAsia"/>
          <w:color w:val="000000"/>
          <w:sz w:val="32"/>
          <w:szCs w:val="32"/>
        </w:rPr>
        <w:t>其他</w:t>
      </w:r>
      <w:r w:rsidRPr="00EC589F">
        <w:rPr>
          <w:rFonts w:eastAsia="仿宋_GB2312" w:hint="eastAsia"/>
          <w:sz w:val="32"/>
          <w:szCs w:val="32"/>
        </w:rPr>
        <w:t>硫脲类衍生物或本品任何辅料过敏者禁用。</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3.</w:t>
      </w:r>
      <w:r w:rsidRPr="00EC589F">
        <w:rPr>
          <w:rFonts w:eastAsia="仿宋_GB2312" w:hint="eastAsia"/>
          <w:sz w:val="32"/>
          <w:szCs w:val="32"/>
        </w:rPr>
        <w:t>在接受甲巯咪唑或丙硫氧嘧啶治疗后，曾出现粒细胞缺乏或严重骨髓抑制者禁用。</w:t>
      </w:r>
    </w:p>
    <w:p w:rsidR="000F50B1" w:rsidRPr="00EC589F" w:rsidRDefault="000F50B1" w:rsidP="008164AD">
      <w:pPr>
        <w:spacing w:line="610" w:lineRule="exact"/>
        <w:ind w:firstLineChars="200" w:firstLine="640"/>
        <w:rPr>
          <w:rFonts w:ascii="黑体" w:eastAsia="黑体" w:hAnsi="黑体"/>
          <w:sz w:val="32"/>
          <w:szCs w:val="32"/>
        </w:rPr>
      </w:pPr>
      <w:r w:rsidRPr="00EC589F">
        <w:rPr>
          <w:rFonts w:ascii="黑体" w:eastAsia="黑体" w:hAnsi="黑体" w:hint="eastAsia"/>
          <w:sz w:val="32"/>
          <w:szCs w:val="32"/>
        </w:rPr>
        <w:t>三、【注意事项】项应包含以下内容</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1.</w:t>
      </w:r>
      <w:r w:rsidRPr="00EC589F">
        <w:rPr>
          <w:rFonts w:eastAsia="仿宋_GB2312" w:hint="eastAsia"/>
          <w:sz w:val="32"/>
          <w:szCs w:val="32"/>
        </w:rPr>
        <w:t>孕妇、肝功能异常、粒细胞减少者应慎用。</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2.</w:t>
      </w:r>
      <w:r w:rsidRPr="00EC589F">
        <w:rPr>
          <w:rFonts w:eastAsia="仿宋_GB2312" w:hint="eastAsia"/>
          <w:sz w:val="32"/>
          <w:szCs w:val="32"/>
        </w:rPr>
        <w:t>据报告，大约</w:t>
      </w:r>
      <w:r w:rsidRPr="00EC589F">
        <w:rPr>
          <w:rFonts w:eastAsia="仿宋_GB2312"/>
          <w:sz w:val="32"/>
          <w:szCs w:val="32"/>
        </w:rPr>
        <w:t>0.3</w:t>
      </w:r>
      <w:r w:rsidR="00022AE1" w:rsidRPr="00EC589F">
        <w:rPr>
          <w:rFonts w:eastAsia="仿宋_GB2312"/>
          <w:sz w:val="32"/>
          <w:szCs w:val="32"/>
        </w:rPr>
        <w:t>%</w:t>
      </w:r>
      <w:r w:rsidR="00022AE1" w:rsidRPr="008164AD">
        <w:rPr>
          <w:rFonts w:ascii="仿宋_GB2312" w:eastAsia="仿宋_GB2312" w:hint="eastAsia"/>
          <w:sz w:val="32"/>
          <w:szCs w:val="32"/>
        </w:rPr>
        <w:t>—</w:t>
      </w:r>
      <w:r w:rsidRPr="00EC589F">
        <w:rPr>
          <w:rFonts w:eastAsia="仿宋_GB2312"/>
          <w:sz w:val="32"/>
          <w:szCs w:val="32"/>
        </w:rPr>
        <w:t>0.6%</w:t>
      </w:r>
      <w:r w:rsidRPr="00EC589F">
        <w:rPr>
          <w:rFonts w:eastAsia="仿宋_GB2312" w:hint="eastAsia"/>
          <w:sz w:val="32"/>
          <w:szCs w:val="32"/>
        </w:rPr>
        <w:t>的病例发生了粒细胞缺乏症，在治疗开始后数周或数月以及再次治疗时均可出现。建议患者在治疗初期前</w:t>
      </w:r>
      <w:r w:rsidRPr="00EC589F">
        <w:rPr>
          <w:rFonts w:eastAsia="仿宋_GB2312"/>
          <w:sz w:val="32"/>
          <w:szCs w:val="32"/>
        </w:rPr>
        <w:t>3</w:t>
      </w:r>
      <w:r w:rsidRPr="00EC589F">
        <w:rPr>
          <w:rFonts w:eastAsia="仿宋_GB2312" w:hint="eastAsia"/>
          <w:sz w:val="32"/>
          <w:szCs w:val="32"/>
        </w:rPr>
        <w:t>个月，每周做一次血常规检查。维持治疗期间每月做一次血常规检查。并提醒患者出现口腔炎、咽炎、发热等症状时，应立即就诊。</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3.</w:t>
      </w:r>
      <w:r w:rsidRPr="00EC589F">
        <w:rPr>
          <w:rFonts w:eastAsia="仿宋_GB2312" w:hint="eastAsia"/>
          <w:sz w:val="32"/>
          <w:szCs w:val="32"/>
        </w:rPr>
        <w:t>建议患者在治疗初期前</w:t>
      </w:r>
      <w:r w:rsidRPr="00EC589F">
        <w:rPr>
          <w:rFonts w:eastAsia="仿宋_GB2312"/>
          <w:sz w:val="32"/>
          <w:szCs w:val="32"/>
        </w:rPr>
        <w:t>3</w:t>
      </w:r>
      <w:r w:rsidRPr="00EC589F">
        <w:rPr>
          <w:rFonts w:eastAsia="仿宋_GB2312" w:hint="eastAsia"/>
          <w:sz w:val="32"/>
          <w:szCs w:val="32"/>
        </w:rPr>
        <w:t>个月，每月做一次肝功能检查。肝损害多发生在治疗开始后的</w:t>
      </w:r>
      <w:r w:rsidRPr="00EC589F">
        <w:rPr>
          <w:rFonts w:eastAsia="仿宋_GB2312"/>
          <w:sz w:val="32"/>
          <w:szCs w:val="32"/>
        </w:rPr>
        <w:t>12</w:t>
      </w:r>
      <w:r w:rsidRPr="00EC589F">
        <w:rPr>
          <w:rFonts w:eastAsia="仿宋_GB2312" w:hint="eastAsia"/>
          <w:sz w:val="32"/>
          <w:szCs w:val="32"/>
        </w:rPr>
        <w:t>周内，应提醒患者如出现厌食、恶心、上腹部疼痛、尿黄、皮肤或巩膜黄染等症状时，应立即就诊。</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4.</w:t>
      </w:r>
      <w:r w:rsidRPr="00EC589F">
        <w:rPr>
          <w:rFonts w:eastAsia="仿宋_GB2312" w:hint="eastAsia"/>
          <w:sz w:val="32"/>
          <w:szCs w:val="32"/>
        </w:rPr>
        <w:t>在说明书推荐剂量下，罕见骨髓抑制。骨髓抑制常与使用</w:t>
      </w:r>
      <w:r w:rsidRPr="00EC589F">
        <w:rPr>
          <w:rFonts w:eastAsia="仿宋_GB2312" w:hint="eastAsia"/>
          <w:sz w:val="32"/>
          <w:szCs w:val="32"/>
        </w:rPr>
        <w:lastRenderedPageBreak/>
        <w:t>高剂量（大约每日</w:t>
      </w:r>
      <w:r w:rsidRPr="00EC589F">
        <w:rPr>
          <w:rFonts w:eastAsia="仿宋_GB2312"/>
          <w:sz w:val="32"/>
          <w:szCs w:val="32"/>
        </w:rPr>
        <w:t>120mg</w:t>
      </w:r>
      <w:r w:rsidRPr="00EC589F">
        <w:rPr>
          <w:rFonts w:eastAsia="仿宋_GB2312" w:hint="eastAsia"/>
          <w:sz w:val="32"/>
          <w:szCs w:val="32"/>
        </w:rPr>
        <w:t>）甲巯咪唑相关。在一些特殊</w:t>
      </w:r>
      <w:r w:rsidRPr="00EC589F">
        <w:rPr>
          <w:rFonts w:eastAsia="仿宋_GB2312" w:hint="eastAsia"/>
          <w:color w:val="000000"/>
          <w:sz w:val="32"/>
          <w:szCs w:val="32"/>
        </w:rPr>
        <w:t>适应症</w:t>
      </w:r>
      <w:r w:rsidRPr="00EC589F">
        <w:rPr>
          <w:rFonts w:eastAsia="仿宋_GB2312" w:hint="eastAsia"/>
          <w:sz w:val="32"/>
          <w:szCs w:val="32"/>
        </w:rPr>
        <w:t>中（严重的疾病、甲状腺危象）需要使用高剂量甲巯咪唑。如发生骨髓抑制，需立即停药。如果有必要，可调整使用</w:t>
      </w:r>
      <w:r w:rsidR="00022AE1" w:rsidRPr="00EC589F">
        <w:rPr>
          <w:rFonts w:eastAsia="仿宋_GB2312" w:hint="eastAsia"/>
          <w:color w:val="000000"/>
          <w:sz w:val="32"/>
          <w:szCs w:val="32"/>
        </w:rPr>
        <w:t>其他</w:t>
      </w:r>
      <w:r w:rsidRPr="00EC589F">
        <w:rPr>
          <w:rFonts w:eastAsia="仿宋_GB2312" w:hint="eastAsia"/>
          <w:color w:val="000000"/>
          <w:sz w:val="32"/>
          <w:szCs w:val="32"/>
        </w:rPr>
        <w:t>类型的</w:t>
      </w:r>
      <w:r w:rsidRPr="00EC589F">
        <w:rPr>
          <w:rFonts w:eastAsia="仿宋_GB2312" w:hint="eastAsia"/>
          <w:sz w:val="32"/>
          <w:szCs w:val="32"/>
        </w:rPr>
        <w:t>抗甲状腺药物。</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5.</w:t>
      </w:r>
      <w:r w:rsidRPr="00EC589F">
        <w:rPr>
          <w:rFonts w:eastAsia="仿宋_GB2312" w:hint="eastAsia"/>
          <w:sz w:val="32"/>
          <w:szCs w:val="32"/>
        </w:rPr>
        <w:t>在肝功能受损患者中，甲巯咪唑的血浆清除率下降。因此，给药剂量应尽可能低，并应对患者进行严密监测。</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6.</w:t>
      </w:r>
      <w:r w:rsidRPr="00EC589F">
        <w:rPr>
          <w:rFonts w:eastAsia="仿宋_GB2312" w:hint="eastAsia"/>
          <w:sz w:val="32"/>
          <w:szCs w:val="32"/>
        </w:rPr>
        <w:t>在肾功能受损患者中，由于缺乏甲巯咪唑药代动力学方面的数据，所以在该患者人群中，推荐在严密监测下小心地对剂量进行个体化调整，给药剂量应该尽可能低。</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7.</w:t>
      </w:r>
      <w:r w:rsidRPr="00EC589F">
        <w:rPr>
          <w:rFonts w:eastAsia="仿宋_GB2312" w:hint="eastAsia"/>
          <w:sz w:val="32"/>
          <w:szCs w:val="32"/>
        </w:rPr>
        <w:t>对诊断的干扰：甲巯咪唑可使凝血酶原时间延长，并使血清碱性磷酸酶、门冬氨酸氨基转移酶（</w:t>
      </w:r>
      <w:r w:rsidRPr="00EC589F">
        <w:rPr>
          <w:rFonts w:eastAsia="仿宋_GB2312"/>
          <w:sz w:val="32"/>
          <w:szCs w:val="32"/>
        </w:rPr>
        <w:t>AST</w:t>
      </w:r>
      <w:r w:rsidRPr="00EC589F">
        <w:rPr>
          <w:rFonts w:eastAsia="仿宋_GB2312" w:hint="eastAsia"/>
          <w:sz w:val="32"/>
          <w:szCs w:val="32"/>
        </w:rPr>
        <w:t>）和丙氨酸氨基转移酶（</w:t>
      </w:r>
      <w:r w:rsidRPr="00EC589F">
        <w:rPr>
          <w:rFonts w:eastAsia="仿宋_GB2312"/>
          <w:sz w:val="32"/>
          <w:szCs w:val="32"/>
        </w:rPr>
        <w:t>ALT</w:t>
      </w:r>
      <w:r w:rsidRPr="00EC589F">
        <w:rPr>
          <w:rFonts w:eastAsia="仿宋_GB2312" w:hint="eastAsia"/>
          <w:sz w:val="32"/>
          <w:szCs w:val="32"/>
        </w:rPr>
        <w:t>）增高。还可能引起血胆红素及血乳酸脱氢酶升高。</w:t>
      </w:r>
    </w:p>
    <w:p w:rsidR="000F50B1" w:rsidRPr="00EC589F" w:rsidRDefault="000F50B1" w:rsidP="008164AD">
      <w:pPr>
        <w:spacing w:line="610" w:lineRule="exact"/>
        <w:ind w:firstLineChars="200" w:firstLine="640"/>
        <w:rPr>
          <w:rFonts w:ascii="黑体" w:eastAsia="黑体" w:hAnsi="黑体"/>
          <w:sz w:val="32"/>
          <w:szCs w:val="32"/>
        </w:rPr>
      </w:pPr>
      <w:r w:rsidRPr="00EC589F">
        <w:rPr>
          <w:rFonts w:ascii="黑体" w:eastAsia="黑体" w:hAnsi="黑体" w:hint="eastAsia"/>
          <w:sz w:val="32"/>
          <w:szCs w:val="32"/>
        </w:rPr>
        <w:t>四、【孕妇及哺乳期妇女用药】应包含以下内容</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hint="eastAsia"/>
          <w:sz w:val="32"/>
          <w:szCs w:val="32"/>
        </w:rPr>
        <w:t>哺乳期妇女禁用，孕妇慎用。</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1.</w:t>
      </w:r>
      <w:r w:rsidRPr="00EC589F">
        <w:rPr>
          <w:rFonts w:eastAsia="仿宋_GB2312" w:hint="eastAsia"/>
          <w:sz w:val="32"/>
          <w:szCs w:val="32"/>
        </w:rPr>
        <w:t>一般而言，妊娠会对甲状腺功能亢进产生积极效应。然而，妊娠期间，特别是在妊娠的第</w:t>
      </w:r>
      <w:r w:rsidRPr="00EC589F">
        <w:rPr>
          <w:rFonts w:eastAsia="仿宋_GB2312"/>
          <w:sz w:val="32"/>
          <w:szCs w:val="32"/>
        </w:rPr>
        <w:t>1</w:t>
      </w:r>
      <w:r w:rsidRPr="00EC589F">
        <w:rPr>
          <w:rFonts w:eastAsia="仿宋_GB2312" w:hint="eastAsia"/>
          <w:sz w:val="32"/>
          <w:szCs w:val="32"/>
        </w:rPr>
        <w:t>个月，通常需要对甲状腺功能亢进进行治疗，妊娠期间未治疗的甲状腺功能亢进可能导致严重并发症（诸如：早产和畸形）。但是，由不恰当剂量的甲巯咪唑治疗导致的甲状腺功能减退也与流产倾向相关。</w:t>
      </w:r>
    </w:p>
    <w:p w:rsidR="000F50B1" w:rsidRPr="00EC589F" w:rsidRDefault="000F50B1" w:rsidP="008164AD">
      <w:pPr>
        <w:spacing w:line="610" w:lineRule="exact"/>
        <w:ind w:firstLineChars="200" w:firstLine="640"/>
        <w:rPr>
          <w:rFonts w:eastAsia="仿宋_GB2312"/>
          <w:sz w:val="32"/>
          <w:szCs w:val="32"/>
        </w:rPr>
      </w:pPr>
      <w:r w:rsidRPr="00EC589F">
        <w:rPr>
          <w:rFonts w:eastAsia="仿宋_GB2312"/>
          <w:sz w:val="32"/>
          <w:szCs w:val="32"/>
        </w:rPr>
        <w:t>2.</w:t>
      </w:r>
      <w:r w:rsidRPr="00EC589F">
        <w:rPr>
          <w:rFonts w:eastAsia="仿宋_GB2312" w:hint="eastAsia"/>
          <w:sz w:val="32"/>
          <w:szCs w:val="32"/>
        </w:rPr>
        <w:t>甲巯咪唑可以通过胎盘屏障，胎儿血液中的浓度与母亲血清中的浓度相等。如果给药剂量不恰当，这可以导致胎儿甲状腺</w:t>
      </w:r>
      <w:r w:rsidRPr="00EC589F">
        <w:rPr>
          <w:rFonts w:eastAsia="仿宋_GB2312" w:hint="eastAsia"/>
          <w:sz w:val="32"/>
          <w:szCs w:val="32"/>
        </w:rPr>
        <w:lastRenderedPageBreak/>
        <w:t>肿形成和甲状腺功能减退，也可以降低胎儿出生体重。已有报道，接受甲巯咪唑治疗的妇女分娩了头颅皮肤部分发育不全的新生儿。这种缺陷可以在数周内自发恢复。</w:t>
      </w:r>
    </w:p>
    <w:p w:rsidR="000F50B1" w:rsidRPr="00EC589F" w:rsidRDefault="000F50B1" w:rsidP="008164AD">
      <w:pPr>
        <w:spacing w:line="600" w:lineRule="exact"/>
        <w:ind w:firstLineChars="200" w:firstLine="640"/>
        <w:rPr>
          <w:rFonts w:eastAsia="仿宋_GB2312"/>
          <w:sz w:val="32"/>
          <w:szCs w:val="32"/>
        </w:rPr>
      </w:pPr>
      <w:r w:rsidRPr="00EC589F">
        <w:rPr>
          <w:rFonts w:eastAsia="仿宋_GB2312"/>
          <w:sz w:val="32"/>
          <w:szCs w:val="32"/>
        </w:rPr>
        <w:t>3.</w:t>
      </w:r>
      <w:r w:rsidRPr="00EC589F">
        <w:rPr>
          <w:rFonts w:eastAsia="仿宋_GB2312" w:hint="eastAsia"/>
          <w:sz w:val="32"/>
          <w:szCs w:val="32"/>
        </w:rPr>
        <w:t>另外，多种特定模式的畸形与妊娠前几周内接受高剂量甲巯咪唑治疗相关，这些畸形包括后鼻孔闭锁、食道闭锁、乳头发育不全、智力和运动功能发育迟缓。相比而言，对在出生前对甲巯咪唑产生暴露的多个病例进行了研究，结果即没有发现任何形态发育异常，也没有发现儿童的甲状腺或机体和智力发育受到影响。</w:t>
      </w:r>
    </w:p>
    <w:p w:rsidR="000F50B1" w:rsidRPr="00EC589F" w:rsidRDefault="000F50B1" w:rsidP="008164AD">
      <w:pPr>
        <w:spacing w:line="600" w:lineRule="exact"/>
        <w:ind w:firstLineChars="200" w:firstLine="640"/>
        <w:rPr>
          <w:rFonts w:eastAsia="仿宋_GB2312"/>
          <w:sz w:val="32"/>
          <w:szCs w:val="32"/>
        </w:rPr>
      </w:pPr>
      <w:r w:rsidRPr="00EC589F">
        <w:rPr>
          <w:rFonts w:eastAsia="仿宋_GB2312"/>
          <w:sz w:val="32"/>
          <w:szCs w:val="32"/>
        </w:rPr>
        <w:t>4.</w:t>
      </w:r>
      <w:r w:rsidRPr="00EC589F">
        <w:rPr>
          <w:rFonts w:eastAsia="仿宋_GB2312" w:hint="eastAsia"/>
          <w:sz w:val="32"/>
          <w:szCs w:val="32"/>
        </w:rPr>
        <w:t>由于胚胎毒性效应不能被完全排除，所以在妊娠期间，仅在对获益风险进行严格评估之后，获益大于风险才能应用本品，而且只能在不额外给予甲状腺激素的情况下，应用有效的最低剂量。</w:t>
      </w:r>
    </w:p>
    <w:p w:rsidR="00431189" w:rsidRPr="00EC589F" w:rsidRDefault="00431189" w:rsidP="008164AD">
      <w:pPr>
        <w:spacing w:line="600" w:lineRule="exact"/>
        <w:ind w:firstLineChars="200" w:firstLine="640"/>
        <w:rPr>
          <w:rFonts w:eastAsia="仿宋_GB2312"/>
          <w:sz w:val="32"/>
          <w:szCs w:val="32"/>
        </w:rPr>
      </w:pPr>
      <w:r w:rsidRPr="00EC589F">
        <w:rPr>
          <w:rFonts w:eastAsia="仿宋_GB2312" w:hint="eastAsia"/>
          <w:sz w:val="32"/>
          <w:szCs w:val="32"/>
        </w:rPr>
        <w:t>（注：说明书其他内容如与上述修订要求不一致的，应当一并进行修订。）</w:t>
      </w:r>
    </w:p>
    <w:sectPr w:rsidR="00431189" w:rsidRPr="00EC589F" w:rsidSect="008164AD">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F16" w:rsidRDefault="002B2F16" w:rsidP="00E34248">
      <w:r>
        <w:separator/>
      </w:r>
    </w:p>
  </w:endnote>
  <w:endnote w:type="continuationSeparator" w:id="1">
    <w:p w:rsidR="002B2F16" w:rsidRDefault="002B2F16" w:rsidP="00E342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黑简">
    <w:altName w:val="Arial Unicode MS"/>
    <w:charset w:val="86"/>
    <w:family w:val="modern"/>
    <w:pitch w:val="fixed"/>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9F" w:rsidRPr="008164AD" w:rsidRDefault="00EC589F">
    <w:pPr>
      <w:pStyle w:val="a5"/>
      <w:rPr>
        <w:sz w:val="28"/>
        <w:szCs w:val="28"/>
      </w:rPr>
    </w:pPr>
    <w:r w:rsidRPr="008164AD">
      <w:rPr>
        <w:rFonts w:hint="eastAsia"/>
        <w:color w:val="FFFFFF" w:themeColor="background1"/>
        <w:sz w:val="28"/>
        <w:szCs w:val="28"/>
      </w:rPr>
      <w:t>—</w:t>
    </w:r>
    <w:r w:rsidRPr="008164AD">
      <w:rPr>
        <w:rFonts w:hint="eastAsia"/>
        <w:sz w:val="28"/>
        <w:szCs w:val="28"/>
      </w:rPr>
      <w:t>—</w:t>
    </w:r>
    <w:sdt>
      <w:sdtPr>
        <w:rPr>
          <w:sz w:val="28"/>
          <w:szCs w:val="28"/>
        </w:rPr>
        <w:id w:val="1628885101"/>
        <w:docPartObj>
          <w:docPartGallery w:val="Page Numbers (Bottom of Page)"/>
          <w:docPartUnique/>
        </w:docPartObj>
      </w:sdtPr>
      <w:sdtContent>
        <w:r w:rsidR="00501C68" w:rsidRPr="008164AD">
          <w:rPr>
            <w:sz w:val="28"/>
            <w:szCs w:val="28"/>
          </w:rPr>
          <w:fldChar w:fldCharType="begin"/>
        </w:r>
        <w:r w:rsidRPr="008164AD">
          <w:rPr>
            <w:sz w:val="28"/>
            <w:szCs w:val="28"/>
          </w:rPr>
          <w:instrText>PAGE   \* MERGEFORMAT</w:instrText>
        </w:r>
        <w:r w:rsidR="00501C68" w:rsidRPr="008164AD">
          <w:rPr>
            <w:sz w:val="28"/>
            <w:szCs w:val="28"/>
          </w:rPr>
          <w:fldChar w:fldCharType="separate"/>
        </w:r>
        <w:r w:rsidR="00344664" w:rsidRPr="00344664">
          <w:rPr>
            <w:noProof/>
            <w:sz w:val="28"/>
            <w:szCs w:val="28"/>
            <w:lang w:val="zh-CN"/>
          </w:rPr>
          <w:t>2</w:t>
        </w:r>
        <w:r w:rsidR="00501C68" w:rsidRPr="008164AD">
          <w:rPr>
            <w:sz w:val="28"/>
            <w:szCs w:val="28"/>
          </w:rPr>
          <w:fldChar w:fldCharType="end"/>
        </w:r>
        <w:r w:rsidRPr="008164AD">
          <w:rPr>
            <w:rFonts w:hint="eastAsia"/>
            <w:sz w:val="28"/>
            <w:szCs w:val="28"/>
          </w:rPr>
          <w:t>—</w:t>
        </w:r>
      </w:sdtContent>
    </w:sdt>
  </w:p>
  <w:p w:rsidR="00EC589F" w:rsidRDefault="00EC58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9F" w:rsidRDefault="00EC589F">
    <w:pPr>
      <w:pStyle w:val="a5"/>
      <w:jc w:val="right"/>
    </w:pPr>
    <w:r w:rsidRPr="008164AD">
      <w:rPr>
        <w:rFonts w:hint="eastAsia"/>
        <w:sz w:val="28"/>
        <w:szCs w:val="28"/>
      </w:rPr>
      <w:t>—</w:t>
    </w:r>
    <w:sdt>
      <w:sdtPr>
        <w:rPr>
          <w:sz w:val="28"/>
          <w:szCs w:val="28"/>
        </w:rPr>
        <w:id w:val="-1009605805"/>
        <w:docPartObj>
          <w:docPartGallery w:val="Page Numbers (Bottom of Page)"/>
          <w:docPartUnique/>
        </w:docPartObj>
      </w:sdtPr>
      <w:sdtEndPr>
        <w:rPr>
          <w:sz w:val="18"/>
          <w:szCs w:val="18"/>
        </w:rPr>
      </w:sdtEndPr>
      <w:sdtContent>
        <w:r w:rsidR="00501C68" w:rsidRPr="008164AD">
          <w:rPr>
            <w:sz w:val="28"/>
            <w:szCs w:val="28"/>
          </w:rPr>
          <w:fldChar w:fldCharType="begin"/>
        </w:r>
        <w:r w:rsidRPr="008164AD">
          <w:rPr>
            <w:sz w:val="28"/>
            <w:szCs w:val="28"/>
          </w:rPr>
          <w:instrText>PAGE   \* MERGEFORMAT</w:instrText>
        </w:r>
        <w:r w:rsidR="00501C68" w:rsidRPr="008164AD">
          <w:rPr>
            <w:sz w:val="28"/>
            <w:szCs w:val="28"/>
          </w:rPr>
          <w:fldChar w:fldCharType="separate"/>
        </w:r>
        <w:r w:rsidR="00344664" w:rsidRPr="00344664">
          <w:rPr>
            <w:noProof/>
            <w:sz w:val="28"/>
            <w:szCs w:val="28"/>
            <w:lang w:val="zh-CN"/>
          </w:rPr>
          <w:t>1</w:t>
        </w:r>
        <w:r w:rsidR="00501C68" w:rsidRPr="008164AD">
          <w:rPr>
            <w:sz w:val="28"/>
            <w:szCs w:val="28"/>
          </w:rPr>
          <w:fldChar w:fldCharType="end"/>
        </w:r>
        <w:r w:rsidRPr="008164AD">
          <w:rPr>
            <w:rFonts w:hint="eastAsia"/>
            <w:sz w:val="28"/>
            <w:szCs w:val="28"/>
          </w:rPr>
          <w:t>—</w:t>
        </w:r>
        <w:r w:rsidRPr="008164AD">
          <w:rPr>
            <w:rFonts w:hint="eastAsia"/>
            <w:color w:val="FFFFFF" w:themeColor="background1"/>
            <w:sz w:val="28"/>
            <w:szCs w:val="28"/>
          </w:rPr>
          <w:t>—</w:t>
        </w:r>
      </w:sdtContent>
    </w:sdt>
  </w:p>
  <w:p w:rsidR="000F50B1" w:rsidRDefault="000F50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F16" w:rsidRDefault="002B2F16" w:rsidP="00E34248">
      <w:r>
        <w:separator/>
      </w:r>
    </w:p>
  </w:footnote>
  <w:footnote w:type="continuationSeparator" w:id="1">
    <w:p w:rsidR="002B2F16" w:rsidRDefault="002B2F16" w:rsidP="00E34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5110735"/>
    <w:multiLevelType w:val="hybridMultilevel"/>
    <w:tmpl w:val="E0D4A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trackedChange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2BA"/>
    <w:rsid w:val="000129BF"/>
    <w:rsid w:val="00022AE1"/>
    <w:rsid w:val="000845F6"/>
    <w:rsid w:val="000879C4"/>
    <w:rsid w:val="00096BA8"/>
    <w:rsid w:val="000F50B1"/>
    <w:rsid w:val="00110F62"/>
    <w:rsid w:val="001B03E6"/>
    <w:rsid w:val="001B2D89"/>
    <w:rsid w:val="00245C35"/>
    <w:rsid w:val="00263FC7"/>
    <w:rsid w:val="002B2F16"/>
    <w:rsid w:val="00344664"/>
    <w:rsid w:val="00396450"/>
    <w:rsid w:val="003E2AE1"/>
    <w:rsid w:val="00431189"/>
    <w:rsid w:val="00501C68"/>
    <w:rsid w:val="005970B0"/>
    <w:rsid w:val="005B2931"/>
    <w:rsid w:val="00670691"/>
    <w:rsid w:val="00681BB1"/>
    <w:rsid w:val="00687530"/>
    <w:rsid w:val="006B4B35"/>
    <w:rsid w:val="006C1377"/>
    <w:rsid w:val="007A38A7"/>
    <w:rsid w:val="008112F7"/>
    <w:rsid w:val="0081609F"/>
    <w:rsid w:val="008164AD"/>
    <w:rsid w:val="00821223"/>
    <w:rsid w:val="008451CD"/>
    <w:rsid w:val="00885A84"/>
    <w:rsid w:val="008C2704"/>
    <w:rsid w:val="008E3CEE"/>
    <w:rsid w:val="00935B51"/>
    <w:rsid w:val="009910FA"/>
    <w:rsid w:val="00995570"/>
    <w:rsid w:val="009957D2"/>
    <w:rsid w:val="009C07DE"/>
    <w:rsid w:val="009D46E6"/>
    <w:rsid w:val="00A23B1E"/>
    <w:rsid w:val="00A64737"/>
    <w:rsid w:val="00AF3113"/>
    <w:rsid w:val="00B0776C"/>
    <w:rsid w:val="00B152F7"/>
    <w:rsid w:val="00B430DE"/>
    <w:rsid w:val="00B81DF7"/>
    <w:rsid w:val="00BC6123"/>
    <w:rsid w:val="00BE6FF9"/>
    <w:rsid w:val="00C12FA8"/>
    <w:rsid w:val="00C81A1D"/>
    <w:rsid w:val="00C94666"/>
    <w:rsid w:val="00DC2955"/>
    <w:rsid w:val="00E21288"/>
    <w:rsid w:val="00E34248"/>
    <w:rsid w:val="00E6178B"/>
    <w:rsid w:val="00E81E80"/>
    <w:rsid w:val="00EC589F"/>
    <w:rsid w:val="00F67542"/>
    <w:rsid w:val="00FF02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2F7"/>
    <w:pPr>
      <w:widowControl/>
      <w:ind w:firstLineChars="200" w:firstLine="420"/>
      <w:jc w:val="left"/>
    </w:pPr>
    <w:rPr>
      <w:rFonts w:ascii="宋体" w:hAnsi="宋体" w:cs="宋体"/>
      <w:kern w:val="0"/>
      <w:sz w:val="24"/>
    </w:rPr>
  </w:style>
  <w:style w:type="paragraph" w:styleId="a4">
    <w:name w:val="header"/>
    <w:basedOn w:val="a"/>
    <w:link w:val="Char"/>
    <w:uiPriority w:val="99"/>
    <w:unhideWhenUsed/>
    <w:rsid w:val="00E34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4248"/>
    <w:rPr>
      <w:rFonts w:ascii="Times New Roman" w:eastAsia="宋体" w:hAnsi="Times New Roman" w:cs="Times New Roman"/>
      <w:sz w:val="18"/>
      <w:szCs w:val="18"/>
    </w:rPr>
  </w:style>
  <w:style w:type="paragraph" w:styleId="a5">
    <w:name w:val="footer"/>
    <w:basedOn w:val="a"/>
    <w:link w:val="Char0"/>
    <w:uiPriority w:val="99"/>
    <w:unhideWhenUsed/>
    <w:rsid w:val="00E34248"/>
    <w:pPr>
      <w:tabs>
        <w:tab w:val="center" w:pos="4153"/>
        <w:tab w:val="right" w:pos="8306"/>
      </w:tabs>
      <w:snapToGrid w:val="0"/>
      <w:jc w:val="left"/>
    </w:pPr>
    <w:rPr>
      <w:sz w:val="18"/>
      <w:szCs w:val="18"/>
    </w:rPr>
  </w:style>
  <w:style w:type="character" w:customStyle="1" w:styleId="Char0">
    <w:name w:val="页脚 Char"/>
    <w:basedOn w:val="a0"/>
    <w:link w:val="a5"/>
    <w:uiPriority w:val="99"/>
    <w:rsid w:val="00E34248"/>
    <w:rPr>
      <w:rFonts w:ascii="Times New Roman" w:eastAsia="宋体" w:hAnsi="Times New Roman" w:cs="Times New Roman"/>
      <w:sz w:val="18"/>
      <w:szCs w:val="18"/>
    </w:rPr>
  </w:style>
  <w:style w:type="table" w:styleId="a6">
    <w:name w:val="Table Grid"/>
    <w:basedOn w:val="a1"/>
    <w:uiPriority w:val="59"/>
    <w:rsid w:val="00885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C2955"/>
    <w:pPr>
      <w:autoSpaceDE w:val="0"/>
      <w:autoSpaceDN w:val="0"/>
      <w:adjustRightInd w:val="0"/>
      <w:spacing w:line="104" w:lineRule="atLeast"/>
      <w:ind w:left="57" w:firstLine="142"/>
      <w:jc w:val="left"/>
      <w:textAlignment w:val="center"/>
    </w:pPr>
    <w:rPr>
      <w:rFonts w:eastAsia="汉仪中黑简"/>
      <w:color w:val="000000"/>
      <w:kern w:val="0"/>
      <w:sz w:val="9"/>
      <w:szCs w:val="9"/>
    </w:rPr>
  </w:style>
  <w:style w:type="paragraph" w:styleId="a7">
    <w:name w:val="Balloon Text"/>
    <w:basedOn w:val="a"/>
    <w:link w:val="Char1"/>
    <w:uiPriority w:val="99"/>
    <w:semiHidden/>
    <w:unhideWhenUsed/>
    <w:rsid w:val="00DC2955"/>
    <w:rPr>
      <w:sz w:val="18"/>
      <w:szCs w:val="18"/>
    </w:rPr>
  </w:style>
  <w:style w:type="character" w:customStyle="1" w:styleId="Char1">
    <w:name w:val="批注框文本 Char"/>
    <w:basedOn w:val="a0"/>
    <w:link w:val="a7"/>
    <w:uiPriority w:val="99"/>
    <w:semiHidden/>
    <w:rsid w:val="00DC2955"/>
    <w:rPr>
      <w:rFonts w:ascii="Times New Roman" w:eastAsia="宋体" w:hAnsi="Times New Roman" w:cs="Times New Roman"/>
      <w:sz w:val="18"/>
      <w:szCs w:val="18"/>
    </w:rPr>
  </w:style>
  <w:style w:type="paragraph" w:styleId="a8">
    <w:name w:val="endnote text"/>
    <w:basedOn w:val="a"/>
    <w:link w:val="Char2"/>
    <w:uiPriority w:val="99"/>
    <w:semiHidden/>
    <w:unhideWhenUsed/>
    <w:rsid w:val="00DC2955"/>
    <w:pPr>
      <w:snapToGrid w:val="0"/>
      <w:jc w:val="left"/>
    </w:pPr>
  </w:style>
  <w:style w:type="character" w:customStyle="1" w:styleId="Char2">
    <w:name w:val="尾注文本 Char"/>
    <w:basedOn w:val="a0"/>
    <w:link w:val="a8"/>
    <w:uiPriority w:val="99"/>
    <w:semiHidden/>
    <w:rsid w:val="00DC2955"/>
    <w:rPr>
      <w:rFonts w:ascii="Times New Roman" w:eastAsia="宋体" w:hAnsi="Times New Roman" w:cs="Times New Roman"/>
      <w:szCs w:val="24"/>
    </w:rPr>
  </w:style>
  <w:style w:type="character" w:styleId="a9">
    <w:name w:val="endnote reference"/>
    <w:basedOn w:val="a0"/>
    <w:uiPriority w:val="99"/>
    <w:semiHidden/>
    <w:unhideWhenUsed/>
    <w:rsid w:val="00DC29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2F7"/>
    <w:pPr>
      <w:widowControl/>
      <w:ind w:firstLineChars="200" w:firstLine="420"/>
      <w:jc w:val="left"/>
    </w:pPr>
    <w:rPr>
      <w:rFonts w:ascii="宋体" w:hAnsi="宋体" w:cs="宋体"/>
      <w:kern w:val="0"/>
      <w:sz w:val="24"/>
    </w:rPr>
  </w:style>
  <w:style w:type="paragraph" w:styleId="a4">
    <w:name w:val="header"/>
    <w:basedOn w:val="a"/>
    <w:link w:val="Char"/>
    <w:uiPriority w:val="99"/>
    <w:unhideWhenUsed/>
    <w:rsid w:val="00E34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4248"/>
    <w:rPr>
      <w:rFonts w:ascii="Times New Roman" w:eastAsia="宋体" w:hAnsi="Times New Roman" w:cs="Times New Roman"/>
      <w:sz w:val="18"/>
      <w:szCs w:val="18"/>
    </w:rPr>
  </w:style>
  <w:style w:type="paragraph" w:styleId="a5">
    <w:name w:val="footer"/>
    <w:basedOn w:val="a"/>
    <w:link w:val="Char0"/>
    <w:uiPriority w:val="99"/>
    <w:unhideWhenUsed/>
    <w:rsid w:val="00E34248"/>
    <w:pPr>
      <w:tabs>
        <w:tab w:val="center" w:pos="4153"/>
        <w:tab w:val="right" w:pos="8306"/>
      </w:tabs>
      <w:snapToGrid w:val="0"/>
      <w:jc w:val="left"/>
    </w:pPr>
    <w:rPr>
      <w:sz w:val="18"/>
      <w:szCs w:val="18"/>
    </w:rPr>
  </w:style>
  <w:style w:type="character" w:customStyle="1" w:styleId="Char0">
    <w:name w:val="页脚 Char"/>
    <w:basedOn w:val="a0"/>
    <w:link w:val="a5"/>
    <w:uiPriority w:val="99"/>
    <w:rsid w:val="00E34248"/>
    <w:rPr>
      <w:rFonts w:ascii="Times New Roman" w:eastAsia="宋体" w:hAnsi="Times New Roman" w:cs="Times New Roman"/>
      <w:sz w:val="18"/>
      <w:szCs w:val="18"/>
    </w:rPr>
  </w:style>
  <w:style w:type="table" w:styleId="a6">
    <w:name w:val="Table Grid"/>
    <w:basedOn w:val="a1"/>
    <w:uiPriority w:val="59"/>
    <w:rsid w:val="00885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C2955"/>
    <w:pPr>
      <w:autoSpaceDE w:val="0"/>
      <w:autoSpaceDN w:val="0"/>
      <w:adjustRightInd w:val="0"/>
      <w:spacing w:line="104" w:lineRule="atLeast"/>
      <w:ind w:left="57" w:firstLine="142"/>
      <w:jc w:val="left"/>
      <w:textAlignment w:val="center"/>
    </w:pPr>
    <w:rPr>
      <w:rFonts w:eastAsia="汉仪中黑简"/>
      <w:color w:val="000000"/>
      <w:kern w:val="0"/>
      <w:sz w:val="9"/>
      <w:szCs w:val="9"/>
    </w:rPr>
  </w:style>
  <w:style w:type="paragraph" w:styleId="a7">
    <w:name w:val="Balloon Text"/>
    <w:basedOn w:val="a"/>
    <w:link w:val="Char1"/>
    <w:uiPriority w:val="99"/>
    <w:semiHidden/>
    <w:unhideWhenUsed/>
    <w:rsid w:val="00DC2955"/>
    <w:rPr>
      <w:sz w:val="18"/>
      <w:szCs w:val="18"/>
    </w:rPr>
  </w:style>
  <w:style w:type="character" w:customStyle="1" w:styleId="Char1">
    <w:name w:val="批注框文本 Char"/>
    <w:basedOn w:val="a0"/>
    <w:link w:val="a7"/>
    <w:uiPriority w:val="99"/>
    <w:semiHidden/>
    <w:rsid w:val="00DC2955"/>
    <w:rPr>
      <w:rFonts w:ascii="Times New Roman" w:eastAsia="宋体" w:hAnsi="Times New Roman" w:cs="Times New Roman"/>
      <w:sz w:val="18"/>
      <w:szCs w:val="18"/>
    </w:rPr>
  </w:style>
  <w:style w:type="paragraph" w:styleId="a8">
    <w:name w:val="endnote text"/>
    <w:basedOn w:val="a"/>
    <w:link w:val="Char2"/>
    <w:uiPriority w:val="99"/>
    <w:semiHidden/>
    <w:unhideWhenUsed/>
    <w:rsid w:val="00DC2955"/>
    <w:pPr>
      <w:snapToGrid w:val="0"/>
      <w:jc w:val="left"/>
    </w:pPr>
  </w:style>
  <w:style w:type="character" w:customStyle="1" w:styleId="Char2">
    <w:name w:val="尾注文本 Char"/>
    <w:basedOn w:val="a0"/>
    <w:link w:val="a8"/>
    <w:uiPriority w:val="99"/>
    <w:semiHidden/>
    <w:rsid w:val="00DC2955"/>
    <w:rPr>
      <w:rFonts w:ascii="Times New Roman" w:eastAsia="宋体" w:hAnsi="Times New Roman" w:cs="Times New Roman"/>
      <w:szCs w:val="24"/>
    </w:rPr>
  </w:style>
  <w:style w:type="character" w:styleId="a9">
    <w:name w:val="endnote reference"/>
    <w:basedOn w:val="a0"/>
    <w:uiPriority w:val="99"/>
    <w:semiHidden/>
    <w:unhideWhenUsed/>
    <w:rsid w:val="00DC2955"/>
    <w:rPr>
      <w:vertAlign w:val="superscript"/>
    </w:rPr>
  </w:style>
</w:styles>
</file>

<file path=word/webSettings.xml><?xml version="1.0" encoding="utf-8"?>
<w:webSettings xmlns:r="http://schemas.openxmlformats.org/officeDocument/2006/relationships" xmlns:w="http://schemas.openxmlformats.org/wordprocessingml/2006/main">
  <w:divs>
    <w:div w:id="12092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289E-4D49-4010-BD78-74008C11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1460</Characters>
  <Application>Microsoft Office Word</Application>
  <DocSecurity>0</DocSecurity>
  <Lines>12</Lines>
  <Paragraphs>3</Paragraphs>
  <ScaleCrop>false</ScaleCrop>
  <Company>CFDA</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白洁</dc:creator>
  <cp:lastModifiedBy>wxl</cp:lastModifiedBy>
  <cp:revision>2</cp:revision>
  <cp:lastPrinted>2018-02-05T01:45:00Z</cp:lastPrinted>
  <dcterms:created xsi:type="dcterms:W3CDTF">2018-02-09T09:56:00Z</dcterms:created>
  <dcterms:modified xsi:type="dcterms:W3CDTF">2018-02-09T09:56:00Z</dcterms:modified>
</cp:coreProperties>
</file>