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4D7" w:rsidRPr="00E66424" w:rsidRDefault="00B174D7" w:rsidP="00B174D7">
      <w:pPr>
        <w:tabs>
          <w:tab w:val="left" w:pos="7200"/>
          <w:tab w:val="left" w:pos="7380"/>
          <w:tab w:val="left" w:pos="7560"/>
        </w:tabs>
        <w:rPr>
          <w:rFonts w:eastAsia="黑体"/>
          <w:sz w:val="32"/>
          <w:szCs w:val="32"/>
        </w:rPr>
      </w:pPr>
      <w:r w:rsidRPr="00E66424">
        <w:rPr>
          <w:rFonts w:eastAsia="黑体"/>
          <w:sz w:val="32"/>
          <w:szCs w:val="32"/>
        </w:rPr>
        <w:t>附件</w:t>
      </w:r>
    </w:p>
    <w:p w:rsidR="00B174D7" w:rsidRPr="00882405" w:rsidRDefault="00B174D7" w:rsidP="00B174D7">
      <w:pPr>
        <w:ind w:leftChars="284" w:left="1876" w:hangingChars="400" w:hanging="1280"/>
        <w:rPr>
          <w:rFonts w:eastAsia="仿宋_GB2312"/>
          <w:sz w:val="32"/>
          <w:szCs w:val="32"/>
        </w:rPr>
      </w:pPr>
    </w:p>
    <w:p w:rsidR="00B174D7" w:rsidRPr="00882405" w:rsidRDefault="00B174D7" w:rsidP="00B174D7">
      <w:pPr>
        <w:widowControl/>
        <w:jc w:val="center"/>
        <w:rPr>
          <w:rFonts w:ascii="方正小标宋简体" w:eastAsia="方正小标宋简体"/>
          <w:color w:val="000000"/>
          <w:kern w:val="0"/>
          <w:sz w:val="44"/>
          <w:szCs w:val="44"/>
        </w:rPr>
      </w:pPr>
      <w:r w:rsidRPr="00882405">
        <w:rPr>
          <w:rFonts w:ascii="方正小标宋简体" w:eastAsia="方正小标宋简体" w:hint="eastAsia"/>
          <w:color w:val="000000"/>
          <w:kern w:val="0"/>
          <w:sz w:val="44"/>
          <w:szCs w:val="44"/>
        </w:rPr>
        <w:t>2018年2月份已批准通过仿制药质量和疗效一致性评价品种目录</w:t>
      </w:r>
    </w:p>
    <w:p w:rsidR="00B174D7" w:rsidRPr="00882405" w:rsidRDefault="00B174D7" w:rsidP="00B174D7">
      <w:pPr>
        <w:widowControl/>
        <w:jc w:val="center"/>
        <w:rPr>
          <w:rFonts w:ascii="方正小标宋简体" w:eastAsia="方正小标宋简体"/>
          <w:color w:val="000000"/>
          <w:kern w:val="0"/>
          <w:sz w:val="44"/>
          <w:szCs w:val="44"/>
        </w:rPr>
      </w:pPr>
      <w:r w:rsidRPr="00882405">
        <w:rPr>
          <w:rFonts w:ascii="方正小标宋简体" w:eastAsia="方正小标宋简体" w:hint="eastAsia"/>
          <w:color w:val="000000"/>
          <w:kern w:val="0"/>
          <w:sz w:val="44"/>
          <w:szCs w:val="44"/>
        </w:rPr>
        <w:t>（第二批）</w:t>
      </w:r>
    </w:p>
    <w:p w:rsidR="00B174D7" w:rsidRPr="00E66424" w:rsidRDefault="00B174D7" w:rsidP="00B174D7">
      <w:pPr>
        <w:widowControl/>
        <w:jc w:val="center"/>
        <w:rPr>
          <w:rFonts w:eastAsia="方正小标宋简体"/>
          <w:kern w:val="0"/>
          <w:sz w:val="28"/>
          <w:szCs w:val="44"/>
        </w:rPr>
      </w:pPr>
    </w:p>
    <w:tbl>
      <w:tblPr>
        <w:tblW w:w="14545" w:type="dxa"/>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1554"/>
        <w:gridCol w:w="1166"/>
        <w:gridCol w:w="1525"/>
        <w:gridCol w:w="1168"/>
        <w:gridCol w:w="709"/>
        <w:gridCol w:w="3974"/>
        <w:gridCol w:w="1124"/>
        <w:gridCol w:w="1208"/>
        <w:gridCol w:w="1282"/>
      </w:tblGrid>
      <w:tr w:rsidR="00B174D7" w:rsidRPr="00882405" w:rsidTr="009D692C">
        <w:trPr>
          <w:trHeight w:val="709"/>
          <w:tblHeader/>
          <w:jc w:val="center"/>
        </w:trPr>
        <w:tc>
          <w:tcPr>
            <w:tcW w:w="835" w:type="dxa"/>
            <w:shd w:val="clear" w:color="auto" w:fill="auto"/>
            <w:vAlign w:val="center"/>
            <w:hideMark/>
          </w:tcPr>
          <w:p w:rsidR="00B174D7" w:rsidRPr="006E0884" w:rsidRDefault="00B174D7" w:rsidP="009D692C">
            <w:pPr>
              <w:widowControl/>
              <w:jc w:val="center"/>
              <w:rPr>
                <w:rFonts w:eastAsia="黑体"/>
                <w:bCs/>
                <w:color w:val="000000"/>
                <w:kern w:val="0"/>
                <w:sz w:val="24"/>
              </w:rPr>
            </w:pPr>
            <w:r w:rsidRPr="006E0884">
              <w:rPr>
                <w:rFonts w:eastAsia="黑体"/>
                <w:bCs/>
                <w:color w:val="000000"/>
                <w:kern w:val="0"/>
                <w:sz w:val="24"/>
              </w:rPr>
              <w:t>序号</w:t>
            </w:r>
          </w:p>
        </w:tc>
        <w:tc>
          <w:tcPr>
            <w:tcW w:w="1554" w:type="dxa"/>
            <w:shd w:val="clear" w:color="auto" w:fill="auto"/>
            <w:vAlign w:val="center"/>
            <w:hideMark/>
          </w:tcPr>
          <w:p w:rsidR="00B174D7" w:rsidRPr="00BC5564" w:rsidRDefault="00B174D7" w:rsidP="009D692C">
            <w:pPr>
              <w:widowControl/>
              <w:jc w:val="center"/>
              <w:rPr>
                <w:rFonts w:eastAsia="黑体"/>
                <w:bCs/>
                <w:color w:val="000000"/>
                <w:kern w:val="0"/>
                <w:sz w:val="24"/>
              </w:rPr>
            </w:pPr>
            <w:r w:rsidRPr="00BC5564">
              <w:rPr>
                <w:rFonts w:eastAsia="黑体"/>
                <w:bCs/>
                <w:color w:val="000000"/>
                <w:kern w:val="0"/>
                <w:sz w:val="24"/>
              </w:rPr>
              <w:t>受理号</w:t>
            </w:r>
          </w:p>
        </w:tc>
        <w:tc>
          <w:tcPr>
            <w:tcW w:w="1166" w:type="dxa"/>
            <w:shd w:val="clear" w:color="auto" w:fill="auto"/>
            <w:vAlign w:val="center"/>
            <w:hideMark/>
          </w:tcPr>
          <w:p w:rsidR="00B174D7" w:rsidRPr="00882405" w:rsidRDefault="00B174D7" w:rsidP="009D692C">
            <w:pPr>
              <w:widowControl/>
              <w:jc w:val="center"/>
              <w:rPr>
                <w:rFonts w:eastAsia="黑体"/>
                <w:bCs/>
                <w:color w:val="000000"/>
                <w:kern w:val="0"/>
                <w:sz w:val="24"/>
              </w:rPr>
            </w:pPr>
            <w:r w:rsidRPr="00882405">
              <w:rPr>
                <w:rFonts w:eastAsia="黑体"/>
                <w:bCs/>
                <w:color w:val="000000"/>
                <w:kern w:val="0"/>
                <w:sz w:val="24"/>
              </w:rPr>
              <w:t>品种</w:t>
            </w:r>
          </w:p>
          <w:p w:rsidR="00B174D7" w:rsidRPr="00882405" w:rsidRDefault="00B174D7" w:rsidP="009D692C">
            <w:pPr>
              <w:widowControl/>
              <w:jc w:val="center"/>
              <w:rPr>
                <w:rFonts w:eastAsia="黑体"/>
                <w:bCs/>
                <w:color w:val="000000"/>
                <w:kern w:val="0"/>
                <w:sz w:val="24"/>
              </w:rPr>
            </w:pPr>
            <w:r w:rsidRPr="00882405">
              <w:rPr>
                <w:rFonts w:eastAsia="黑体"/>
                <w:bCs/>
                <w:color w:val="000000"/>
                <w:kern w:val="0"/>
                <w:sz w:val="24"/>
              </w:rPr>
              <w:t>名称</w:t>
            </w:r>
          </w:p>
        </w:tc>
        <w:tc>
          <w:tcPr>
            <w:tcW w:w="1525" w:type="dxa"/>
            <w:shd w:val="clear" w:color="auto" w:fill="auto"/>
            <w:vAlign w:val="center"/>
            <w:hideMark/>
          </w:tcPr>
          <w:p w:rsidR="00B174D7" w:rsidRPr="00882405" w:rsidRDefault="00B174D7" w:rsidP="009D692C">
            <w:pPr>
              <w:widowControl/>
              <w:jc w:val="center"/>
              <w:rPr>
                <w:rFonts w:eastAsia="黑体"/>
                <w:bCs/>
                <w:color w:val="000000"/>
                <w:kern w:val="0"/>
                <w:sz w:val="24"/>
              </w:rPr>
            </w:pPr>
            <w:r w:rsidRPr="00882405">
              <w:rPr>
                <w:rFonts w:eastAsia="黑体"/>
                <w:bCs/>
                <w:color w:val="000000"/>
                <w:kern w:val="0"/>
                <w:sz w:val="24"/>
              </w:rPr>
              <w:t>英文名</w:t>
            </w:r>
          </w:p>
        </w:tc>
        <w:tc>
          <w:tcPr>
            <w:tcW w:w="1168" w:type="dxa"/>
            <w:shd w:val="clear" w:color="auto" w:fill="auto"/>
            <w:vAlign w:val="center"/>
            <w:hideMark/>
          </w:tcPr>
          <w:p w:rsidR="00B174D7" w:rsidRPr="00882405" w:rsidRDefault="00B174D7" w:rsidP="009D692C">
            <w:pPr>
              <w:widowControl/>
              <w:jc w:val="center"/>
              <w:rPr>
                <w:rFonts w:eastAsia="黑体"/>
                <w:bCs/>
                <w:color w:val="000000"/>
                <w:kern w:val="0"/>
                <w:sz w:val="24"/>
              </w:rPr>
            </w:pPr>
            <w:r w:rsidRPr="00882405">
              <w:rPr>
                <w:rFonts w:eastAsia="黑体"/>
                <w:bCs/>
                <w:color w:val="000000"/>
                <w:kern w:val="0"/>
                <w:sz w:val="24"/>
              </w:rPr>
              <w:t>规格</w:t>
            </w:r>
          </w:p>
        </w:tc>
        <w:tc>
          <w:tcPr>
            <w:tcW w:w="709" w:type="dxa"/>
            <w:shd w:val="clear" w:color="auto" w:fill="auto"/>
            <w:vAlign w:val="center"/>
            <w:hideMark/>
          </w:tcPr>
          <w:p w:rsidR="00B174D7" w:rsidRPr="00882405" w:rsidRDefault="00B174D7" w:rsidP="009D692C">
            <w:pPr>
              <w:widowControl/>
              <w:jc w:val="center"/>
              <w:rPr>
                <w:rFonts w:eastAsia="黑体"/>
                <w:bCs/>
                <w:color w:val="000000"/>
                <w:kern w:val="0"/>
                <w:sz w:val="24"/>
              </w:rPr>
            </w:pPr>
            <w:r w:rsidRPr="00882405">
              <w:rPr>
                <w:rFonts w:eastAsia="黑体"/>
                <w:bCs/>
                <w:color w:val="000000"/>
                <w:kern w:val="0"/>
                <w:sz w:val="24"/>
              </w:rPr>
              <w:t>剂型</w:t>
            </w:r>
          </w:p>
        </w:tc>
        <w:tc>
          <w:tcPr>
            <w:tcW w:w="3974" w:type="dxa"/>
            <w:shd w:val="clear" w:color="auto" w:fill="auto"/>
            <w:vAlign w:val="center"/>
            <w:hideMark/>
          </w:tcPr>
          <w:p w:rsidR="00B174D7" w:rsidRPr="00882405" w:rsidRDefault="00B174D7" w:rsidP="009D692C">
            <w:pPr>
              <w:widowControl/>
              <w:jc w:val="center"/>
              <w:rPr>
                <w:rFonts w:eastAsia="黑体"/>
                <w:bCs/>
                <w:color w:val="000000"/>
                <w:kern w:val="0"/>
                <w:sz w:val="24"/>
              </w:rPr>
            </w:pPr>
            <w:r w:rsidRPr="00882405">
              <w:rPr>
                <w:rFonts w:eastAsia="黑体"/>
                <w:bCs/>
                <w:color w:val="000000"/>
                <w:kern w:val="0"/>
                <w:sz w:val="24"/>
              </w:rPr>
              <w:t>适应症</w:t>
            </w:r>
          </w:p>
        </w:tc>
        <w:tc>
          <w:tcPr>
            <w:tcW w:w="1124" w:type="dxa"/>
            <w:shd w:val="clear" w:color="auto" w:fill="auto"/>
            <w:vAlign w:val="center"/>
            <w:hideMark/>
          </w:tcPr>
          <w:p w:rsidR="00B174D7" w:rsidRPr="00882405" w:rsidRDefault="00B174D7" w:rsidP="009D692C">
            <w:pPr>
              <w:widowControl/>
              <w:jc w:val="center"/>
              <w:rPr>
                <w:rFonts w:eastAsia="黑体"/>
                <w:bCs/>
                <w:color w:val="000000"/>
                <w:kern w:val="0"/>
                <w:sz w:val="24"/>
              </w:rPr>
            </w:pPr>
            <w:r w:rsidRPr="00882405">
              <w:rPr>
                <w:rFonts w:eastAsia="黑体"/>
                <w:bCs/>
                <w:color w:val="000000"/>
                <w:kern w:val="0"/>
                <w:sz w:val="24"/>
              </w:rPr>
              <w:t>企业</w:t>
            </w:r>
          </w:p>
        </w:tc>
        <w:tc>
          <w:tcPr>
            <w:tcW w:w="1208" w:type="dxa"/>
            <w:shd w:val="clear" w:color="auto" w:fill="auto"/>
            <w:vAlign w:val="center"/>
            <w:hideMark/>
          </w:tcPr>
          <w:p w:rsidR="00B174D7" w:rsidRDefault="00B174D7" w:rsidP="009D692C">
            <w:pPr>
              <w:widowControl/>
              <w:jc w:val="center"/>
              <w:rPr>
                <w:rFonts w:eastAsia="黑体"/>
                <w:bCs/>
                <w:color w:val="000000"/>
                <w:kern w:val="0"/>
                <w:sz w:val="24"/>
              </w:rPr>
            </w:pPr>
            <w:r w:rsidRPr="00882405">
              <w:rPr>
                <w:rFonts w:eastAsia="黑体"/>
                <w:bCs/>
                <w:color w:val="000000"/>
                <w:kern w:val="0"/>
                <w:sz w:val="24"/>
              </w:rPr>
              <w:t>原批准</w:t>
            </w:r>
          </w:p>
          <w:p w:rsidR="00B174D7" w:rsidRPr="006E0884" w:rsidRDefault="00B174D7" w:rsidP="009D692C">
            <w:pPr>
              <w:widowControl/>
              <w:jc w:val="center"/>
              <w:rPr>
                <w:rFonts w:eastAsia="黑体"/>
                <w:bCs/>
                <w:color w:val="000000"/>
                <w:kern w:val="0"/>
                <w:sz w:val="24"/>
              </w:rPr>
            </w:pPr>
            <w:r w:rsidRPr="006E0884">
              <w:rPr>
                <w:rFonts w:eastAsia="黑体"/>
                <w:bCs/>
                <w:color w:val="000000"/>
                <w:kern w:val="0"/>
                <w:sz w:val="24"/>
              </w:rPr>
              <w:t>文号</w:t>
            </w:r>
          </w:p>
        </w:tc>
        <w:tc>
          <w:tcPr>
            <w:tcW w:w="1282" w:type="dxa"/>
            <w:shd w:val="clear" w:color="auto" w:fill="auto"/>
            <w:vAlign w:val="center"/>
          </w:tcPr>
          <w:p w:rsidR="00B174D7" w:rsidRPr="00882405" w:rsidRDefault="00B174D7" w:rsidP="009D692C">
            <w:pPr>
              <w:widowControl/>
              <w:jc w:val="center"/>
              <w:rPr>
                <w:rFonts w:eastAsia="黑体"/>
                <w:bCs/>
                <w:color w:val="000000"/>
                <w:kern w:val="0"/>
                <w:sz w:val="24"/>
              </w:rPr>
            </w:pPr>
            <w:r w:rsidRPr="00BC5564">
              <w:rPr>
                <w:rFonts w:eastAsia="黑体"/>
                <w:bCs/>
                <w:color w:val="000000"/>
                <w:kern w:val="0"/>
                <w:sz w:val="24"/>
              </w:rPr>
              <w:t>是否</w:t>
            </w:r>
            <w:r w:rsidRPr="00BC5564">
              <w:rPr>
                <w:rFonts w:eastAsia="黑体"/>
                <w:bCs/>
                <w:color w:val="000000"/>
                <w:kern w:val="0"/>
                <w:sz w:val="24"/>
              </w:rPr>
              <w:t>289</w:t>
            </w:r>
            <w:r w:rsidRPr="00882405">
              <w:rPr>
                <w:rFonts w:eastAsia="黑体"/>
                <w:bCs/>
                <w:color w:val="000000"/>
                <w:kern w:val="0"/>
                <w:sz w:val="24"/>
              </w:rPr>
              <w:t>基药目录</w:t>
            </w:r>
            <w:r w:rsidRPr="00882405">
              <w:rPr>
                <w:rFonts w:eastAsia="黑体"/>
                <w:kern w:val="0"/>
              </w:rPr>
              <w:t>*</w:t>
            </w:r>
          </w:p>
        </w:tc>
      </w:tr>
      <w:tr w:rsidR="00B174D7" w:rsidRPr="00882405" w:rsidTr="009D692C">
        <w:trPr>
          <w:trHeight w:val="4587"/>
          <w:jc w:val="center"/>
        </w:trPr>
        <w:tc>
          <w:tcPr>
            <w:tcW w:w="835" w:type="dxa"/>
            <w:shd w:val="clear" w:color="auto" w:fill="auto"/>
            <w:vAlign w:val="center"/>
          </w:tcPr>
          <w:p w:rsidR="00B174D7" w:rsidRPr="00882405" w:rsidRDefault="00B174D7" w:rsidP="009D692C">
            <w:pPr>
              <w:widowControl/>
              <w:jc w:val="center"/>
              <w:rPr>
                <w:rFonts w:eastAsia="仿宋_GB2312"/>
                <w:color w:val="000000"/>
                <w:szCs w:val="21"/>
              </w:rPr>
            </w:pPr>
            <w:r w:rsidRPr="00882405">
              <w:rPr>
                <w:rFonts w:eastAsia="仿宋_GB2312"/>
                <w:color w:val="000000"/>
                <w:szCs w:val="21"/>
              </w:rPr>
              <w:t>1</w:t>
            </w:r>
          </w:p>
        </w:tc>
        <w:tc>
          <w:tcPr>
            <w:tcW w:w="1554" w:type="dxa"/>
            <w:shd w:val="clear" w:color="auto" w:fill="auto"/>
            <w:vAlign w:val="center"/>
          </w:tcPr>
          <w:p w:rsidR="00B174D7" w:rsidRPr="00882405" w:rsidRDefault="00B174D7" w:rsidP="009D692C">
            <w:pPr>
              <w:widowControl/>
              <w:jc w:val="center"/>
              <w:rPr>
                <w:rFonts w:eastAsia="仿宋_GB2312"/>
                <w:color w:val="000000"/>
                <w:szCs w:val="21"/>
              </w:rPr>
            </w:pPr>
            <w:r w:rsidRPr="00882405">
              <w:rPr>
                <w:rFonts w:eastAsia="仿宋_GB2312"/>
                <w:color w:val="000000"/>
                <w:szCs w:val="21"/>
              </w:rPr>
              <w:t>CYHB1703082</w:t>
            </w:r>
          </w:p>
        </w:tc>
        <w:tc>
          <w:tcPr>
            <w:tcW w:w="1166"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瑞舒伐他汀钙片</w:t>
            </w:r>
          </w:p>
        </w:tc>
        <w:tc>
          <w:tcPr>
            <w:tcW w:w="1525" w:type="dxa"/>
            <w:shd w:val="clear" w:color="auto" w:fill="auto"/>
            <w:vAlign w:val="center"/>
          </w:tcPr>
          <w:p w:rsidR="00B174D7" w:rsidRPr="00882405" w:rsidRDefault="00B174D7" w:rsidP="009D692C">
            <w:pPr>
              <w:widowControl/>
              <w:jc w:val="center"/>
              <w:rPr>
                <w:rFonts w:eastAsia="仿宋_GB2312"/>
                <w:kern w:val="0"/>
              </w:rPr>
            </w:pPr>
            <w:proofErr w:type="spellStart"/>
            <w:r w:rsidRPr="00882405">
              <w:rPr>
                <w:rFonts w:eastAsia="仿宋_GB2312"/>
                <w:color w:val="000000"/>
                <w:szCs w:val="21"/>
              </w:rPr>
              <w:t>Rosuvastatin</w:t>
            </w:r>
            <w:proofErr w:type="spellEnd"/>
            <w:r w:rsidRPr="00882405">
              <w:rPr>
                <w:rFonts w:eastAsia="仿宋_GB2312"/>
                <w:szCs w:val="21"/>
              </w:rPr>
              <w:t xml:space="preserve"> Calcium Tablets</w:t>
            </w:r>
          </w:p>
        </w:tc>
        <w:tc>
          <w:tcPr>
            <w:tcW w:w="1168"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sz w:val="24"/>
              </w:rPr>
              <w:t>5mg</w:t>
            </w:r>
          </w:p>
        </w:tc>
        <w:tc>
          <w:tcPr>
            <w:tcW w:w="709"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片剂</w:t>
            </w:r>
          </w:p>
        </w:tc>
        <w:tc>
          <w:tcPr>
            <w:tcW w:w="3974" w:type="dxa"/>
            <w:shd w:val="clear" w:color="auto" w:fill="auto"/>
            <w:vAlign w:val="center"/>
          </w:tcPr>
          <w:p w:rsidR="00B174D7" w:rsidRPr="00882405" w:rsidRDefault="00B174D7" w:rsidP="009D692C">
            <w:pPr>
              <w:widowControl/>
              <w:ind w:firstLineChars="200" w:firstLine="420"/>
              <w:rPr>
                <w:rFonts w:eastAsia="仿宋_GB2312"/>
                <w:kern w:val="0"/>
              </w:rPr>
            </w:pPr>
            <w:r w:rsidRPr="00882405">
              <w:rPr>
                <w:rFonts w:eastAsia="仿宋_GB2312"/>
                <w:kern w:val="0"/>
              </w:rPr>
              <w:t>本品适用于经饮食控制</w:t>
            </w:r>
            <w:r w:rsidRPr="00882405">
              <w:rPr>
                <w:rFonts w:eastAsia="仿宋_GB2312"/>
                <w:color w:val="000000"/>
                <w:kern w:val="0"/>
              </w:rPr>
              <w:t>和其它</w:t>
            </w:r>
            <w:r w:rsidRPr="00882405">
              <w:rPr>
                <w:rFonts w:eastAsia="仿宋_GB2312"/>
                <w:kern w:val="0"/>
              </w:rPr>
              <w:t>非药物治疗（如：运动治疗，减轻体重）仍不能适当控制血脂异常的原发性高胆固醇血症（</w:t>
            </w:r>
            <w:r w:rsidRPr="00882405">
              <w:rPr>
                <w:rFonts w:ascii="宋体" w:hAnsi="宋体" w:cs="宋体" w:hint="eastAsia"/>
                <w:kern w:val="0"/>
              </w:rPr>
              <w:t>Ⅱ</w:t>
            </w:r>
            <w:r w:rsidRPr="00882405">
              <w:rPr>
                <w:rFonts w:eastAsia="仿宋_GB2312"/>
                <w:kern w:val="0"/>
              </w:rPr>
              <w:t>a</w:t>
            </w:r>
            <w:r w:rsidRPr="00882405">
              <w:rPr>
                <w:rFonts w:eastAsia="仿宋_GB2312"/>
                <w:kern w:val="0"/>
              </w:rPr>
              <w:t>型，包括杂合子家族性高胆固醇血症）或混合型血脂异常症（</w:t>
            </w:r>
            <w:r w:rsidRPr="00882405">
              <w:rPr>
                <w:rFonts w:ascii="宋体" w:hAnsi="宋体" w:cs="宋体" w:hint="eastAsia"/>
                <w:kern w:val="0"/>
              </w:rPr>
              <w:t>Ⅱ</w:t>
            </w:r>
            <w:r w:rsidRPr="00882405">
              <w:rPr>
                <w:rFonts w:eastAsia="仿宋_GB2312"/>
                <w:kern w:val="0"/>
              </w:rPr>
              <w:t>b</w:t>
            </w:r>
            <w:r w:rsidRPr="00882405">
              <w:rPr>
                <w:rFonts w:eastAsia="仿宋_GB2312"/>
                <w:kern w:val="0"/>
              </w:rPr>
              <w:t>型）。</w:t>
            </w:r>
          </w:p>
          <w:p w:rsidR="00B174D7" w:rsidRPr="00882405" w:rsidRDefault="00B174D7" w:rsidP="009D692C">
            <w:pPr>
              <w:widowControl/>
              <w:ind w:firstLineChars="200" w:firstLine="420"/>
              <w:rPr>
                <w:rFonts w:eastAsia="仿宋_GB2312"/>
                <w:kern w:val="0"/>
              </w:rPr>
            </w:pPr>
            <w:r w:rsidRPr="00882405">
              <w:rPr>
                <w:rFonts w:eastAsia="仿宋_GB2312"/>
                <w:kern w:val="0"/>
              </w:rPr>
              <w:t>本品也适用于纯合子家族性高胆固醇血症的患者，作为饮食控制</w:t>
            </w:r>
            <w:r w:rsidRPr="00882405">
              <w:rPr>
                <w:rFonts w:eastAsia="仿宋_GB2312"/>
                <w:color w:val="000000"/>
                <w:kern w:val="0"/>
              </w:rPr>
              <w:t>和其它</w:t>
            </w:r>
            <w:r w:rsidRPr="00882405">
              <w:rPr>
                <w:rFonts w:eastAsia="仿宋_GB2312"/>
                <w:kern w:val="0"/>
              </w:rPr>
              <w:t>降脂措施（如</w:t>
            </w:r>
            <w:r w:rsidRPr="00882405">
              <w:rPr>
                <w:rFonts w:eastAsia="仿宋_GB2312"/>
                <w:kern w:val="0"/>
              </w:rPr>
              <w:t>LDL</w:t>
            </w:r>
            <w:r w:rsidRPr="00882405">
              <w:rPr>
                <w:rFonts w:eastAsia="仿宋_GB2312"/>
                <w:kern w:val="0"/>
              </w:rPr>
              <w:t>去除疗法）的辅助治疗，或在这些方法不适用时使用。</w:t>
            </w:r>
          </w:p>
        </w:tc>
        <w:tc>
          <w:tcPr>
            <w:tcW w:w="1124"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浙江京新药业股份有限公司</w:t>
            </w:r>
          </w:p>
        </w:tc>
        <w:tc>
          <w:tcPr>
            <w:tcW w:w="1208"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国药准字</w:t>
            </w:r>
            <w:r w:rsidRPr="00882405">
              <w:rPr>
                <w:rFonts w:eastAsia="仿宋_GB2312"/>
                <w:kern w:val="0"/>
              </w:rPr>
              <w:t>H20080482</w:t>
            </w:r>
          </w:p>
        </w:tc>
        <w:tc>
          <w:tcPr>
            <w:tcW w:w="1282"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否</w:t>
            </w:r>
          </w:p>
        </w:tc>
      </w:tr>
      <w:tr w:rsidR="00B174D7" w:rsidRPr="00882405" w:rsidTr="009D692C">
        <w:trPr>
          <w:trHeight w:val="3092"/>
          <w:jc w:val="center"/>
        </w:trPr>
        <w:tc>
          <w:tcPr>
            <w:tcW w:w="835" w:type="dxa"/>
            <w:shd w:val="clear" w:color="auto" w:fill="auto"/>
            <w:vAlign w:val="center"/>
          </w:tcPr>
          <w:p w:rsidR="00B174D7" w:rsidRPr="00882405" w:rsidRDefault="00B174D7" w:rsidP="009D692C">
            <w:pPr>
              <w:jc w:val="center"/>
              <w:rPr>
                <w:rFonts w:eastAsia="仿宋_GB2312"/>
                <w:color w:val="000000"/>
                <w:szCs w:val="21"/>
              </w:rPr>
            </w:pPr>
            <w:r w:rsidRPr="00882405">
              <w:rPr>
                <w:rFonts w:eastAsia="仿宋_GB2312"/>
                <w:color w:val="000000"/>
                <w:szCs w:val="21"/>
              </w:rPr>
              <w:lastRenderedPageBreak/>
              <w:t>2</w:t>
            </w:r>
          </w:p>
        </w:tc>
        <w:tc>
          <w:tcPr>
            <w:tcW w:w="1554" w:type="dxa"/>
            <w:shd w:val="clear" w:color="auto" w:fill="auto"/>
            <w:vAlign w:val="center"/>
          </w:tcPr>
          <w:p w:rsidR="00B174D7" w:rsidRPr="00882405" w:rsidRDefault="00B174D7" w:rsidP="009D692C">
            <w:pPr>
              <w:jc w:val="center"/>
              <w:rPr>
                <w:rFonts w:eastAsia="仿宋_GB2312"/>
                <w:color w:val="000000"/>
                <w:szCs w:val="21"/>
              </w:rPr>
            </w:pPr>
            <w:r w:rsidRPr="00882405">
              <w:rPr>
                <w:rFonts w:eastAsia="仿宋_GB2312"/>
                <w:color w:val="000000"/>
                <w:szCs w:val="21"/>
              </w:rPr>
              <w:t>CYHB1750006</w:t>
            </w:r>
          </w:p>
        </w:tc>
        <w:tc>
          <w:tcPr>
            <w:tcW w:w="1166"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瑞舒伐他汀钙片</w:t>
            </w:r>
          </w:p>
        </w:tc>
        <w:tc>
          <w:tcPr>
            <w:tcW w:w="1525" w:type="dxa"/>
            <w:shd w:val="clear" w:color="auto" w:fill="auto"/>
            <w:vAlign w:val="center"/>
          </w:tcPr>
          <w:p w:rsidR="00B174D7" w:rsidRPr="00882405" w:rsidRDefault="00B174D7" w:rsidP="009D692C">
            <w:pPr>
              <w:widowControl/>
              <w:jc w:val="center"/>
              <w:rPr>
                <w:rFonts w:eastAsia="仿宋_GB2312"/>
                <w:kern w:val="0"/>
              </w:rPr>
            </w:pPr>
            <w:proofErr w:type="spellStart"/>
            <w:r w:rsidRPr="00882405">
              <w:rPr>
                <w:rFonts w:eastAsia="仿宋_GB2312"/>
                <w:color w:val="000000"/>
                <w:szCs w:val="21"/>
              </w:rPr>
              <w:t>Rosuvastatin</w:t>
            </w:r>
            <w:proofErr w:type="spellEnd"/>
            <w:r w:rsidRPr="00882405">
              <w:rPr>
                <w:rFonts w:eastAsia="仿宋_GB2312"/>
                <w:szCs w:val="21"/>
              </w:rPr>
              <w:t xml:space="preserve"> Calcium Tablets</w:t>
            </w:r>
          </w:p>
        </w:tc>
        <w:tc>
          <w:tcPr>
            <w:tcW w:w="1168"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sz w:val="24"/>
              </w:rPr>
              <w:t>10mg</w:t>
            </w:r>
          </w:p>
        </w:tc>
        <w:tc>
          <w:tcPr>
            <w:tcW w:w="709"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片剂</w:t>
            </w:r>
          </w:p>
        </w:tc>
        <w:tc>
          <w:tcPr>
            <w:tcW w:w="3974" w:type="dxa"/>
            <w:shd w:val="clear" w:color="auto" w:fill="auto"/>
            <w:vAlign w:val="center"/>
          </w:tcPr>
          <w:p w:rsidR="00B174D7" w:rsidRPr="00882405" w:rsidRDefault="00B174D7" w:rsidP="009D692C">
            <w:pPr>
              <w:widowControl/>
              <w:ind w:firstLineChars="200" w:firstLine="420"/>
              <w:rPr>
                <w:rFonts w:eastAsia="仿宋_GB2312"/>
                <w:kern w:val="0"/>
              </w:rPr>
            </w:pPr>
            <w:r w:rsidRPr="00882405">
              <w:rPr>
                <w:rFonts w:eastAsia="仿宋_GB2312"/>
                <w:kern w:val="0"/>
              </w:rPr>
              <w:t>本品适用于经饮食控制</w:t>
            </w:r>
            <w:r w:rsidRPr="00882405">
              <w:rPr>
                <w:rFonts w:eastAsia="仿宋_GB2312"/>
                <w:color w:val="000000"/>
                <w:kern w:val="0"/>
              </w:rPr>
              <w:t>和其它</w:t>
            </w:r>
            <w:r w:rsidRPr="00882405">
              <w:rPr>
                <w:rFonts w:eastAsia="仿宋_GB2312"/>
                <w:kern w:val="0"/>
              </w:rPr>
              <w:t>非药物治疗（如：运动治疗，减轻体重）仍不能适当控制血脂异常的原发性高胆固醇血症（</w:t>
            </w:r>
            <w:r w:rsidRPr="00882405">
              <w:rPr>
                <w:rFonts w:ascii="宋体" w:hAnsi="宋体" w:cs="宋体" w:hint="eastAsia"/>
                <w:kern w:val="0"/>
              </w:rPr>
              <w:t>Ⅱ</w:t>
            </w:r>
            <w:r w:rsidRPr="00882405">
              <w:rPr>
                <w:rFonts w:eastAsia="仿宋_GB2312"/>
                <w:kern w:val="0"/>
              </w:rPr>
              <w:t>a</w:t>
            </w:r>
            <w:r w:rsidRPr="00882405">
              <w:rPr>
                <w:rFonts w:eastAsia="仿宋_GB2312"/>
                <w:kern w:val="0"/>
              </w:rPr>
              <w:t>型，包括杂合子家族性高胆固醇血症）或混合型血脂异常症（</w:t>
            </w:r>
            <w:r w:rsidRPr="00882405">
              <w:rPr>
                <w:rFonts w:ascii="宋体" w:hAnsi="宋体" w:cs="宋体" w:hint="eastAsia"/>
                <w:kern w:val="0"/>
              </w:rPr>
              <w:t>Ⅱ</w:t>
            </w:r>
            <w:r w:rsidRPr="00882405">
              <w:rPr>
                <w:rFonts w:eastAsia="仿宋_GB2312"/>
                <w:kern w:val="0"/>
              </w:rPr>
              <w:t>b</w:t>
            </w:r>
            <w:r w:rsidRPr="00882405">
              <w:rPr>
                <w:rFonts w:eastAsia="仿宋_GB2312"/>
                <w:kern w:val="0"/>
              </w:rPr>
              <w:t>型）。</w:t>
            </w:r>
          </w:p>
          <w:p w:rsidR="00B174D7" w:rsidRPr="00882405" w:rsidRDefault="00B174D7" w:rsidP="009D692C">
            <w:pPr>
              <w:widowControl/>
              <w:ind w:firstLineChars="200" w:firstLine="420"/>
              <w:rPr>
                <w:rFonts w:eastAsia="仿宋_GB2312"/>
                <w:kern w:val="0"/>
              </w:rPr>
            </w:pPr>
            <w:r w:rsidRPr="00882405">
              <w:rPr>
                <w:rFonts w:eastAsia="仿宋_GB2312"/>
                <w:kern w:val="0"/>
              </w:rPr>
              <w:t>本品也适用于纯合子家族性高胆固醇血症的患者，作为饮食控制</w:t>
            </w:r>
            <w:r w:rsidRPr="00882405">
              <w:rPr>
                <w:rFonts w:eastAsia="仿宋_GB2312"/>
                <w:color w:val="000000"/>
                <w:kern w:val="0"/>
              </w:rPr>
              <w:t>和其它</w:t>
            </w:r>
            <w:r w:rsidRPr="00882405">
              <w:rPr>
                <w:rFonts w:eastAsia="仿宋_GB2312"/>
                <w:kern w:val="0"/>
              </w:rPr>
              <w:t>降脂措施（如</w:t>
            </w:r>
            <w:r w:rsidRPr="00882405">
              <w:rPr>
                <w:rFonts w:eastAsia="仿宋_GB2312"/>
                <w:kern w:val="0"/>
              </w:rPr>
              <w:t>LDL</w:t>
            </w:r>
            <w:r w:rsidRPr="00882405">
              <w:rPr>
                <w:rFonts w:eastAsia="仿宋_GB2312"/>
                <w:kern w:val="0"/>
              </w:rPr>
              <w:t>去除疗法）的辅助治疗，或在这些方法不适用时使用。</w:t>
            </w:r>
          </w:p>
        </w:tc>
        <w:tc>
          <w:tcPr>
            <w:tcW w:w="1124"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浙江京新药业股份有限公司</w:t>
            </w:r>
          </w:p>
        </w:tc>
        <w:tc>
          <w:tcPr>
            <w:tcW w:w="1208"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国药准字</w:t>
            </w:r>
            <w:r w:rsidRPr="00882405">
              <w:rPr>
                <w:rFonts w:eastAsia="仿宋_GB2312"/>
                <w:kern w:val="0"/>
              </w:rPr>
              <w:t>H20080483</w:t>
            </w:r>
          </w:p>
        </w:tc>
        <w:tc>
          <w:tcPr>
            <w:tcW w:w="1282"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否</w:t>
            </w:r>
          </w:p>
        </w:tc>
      </w:tr>
      <w:tr w:rsidR="00B174D7" w:rsidRPr="00882405" w:rsidTr="009D692C">
        <w:trPr>
          <w:trHeight w:val="4099"/>
          <w:jc w:val="center"/>
        </w:trPr>
        <w:tc>
          <w:tcPr>
            <w:tcW w:w="835" w:type="dxa"/>
            <w:shd w:val="clear" w:color="auto" w:fill="auto"/>
            <w:vAlign w:val="center"/>
          </w:tcPr>
          <w:p w:rsidR="00B174D7" w:rsidRPr="00882405" w:rsidRDefault="00B174D7" w:rsidP="009D692C">
            <w:pPr>
              <w:jc w:val="center"/>
              <w:rPr>
                <w:rFonts w:eastAsia="仿宋_GB2312"/>
                <w:color w:val="000000"/>
                <w:szCs w:val="21"/>
              </w:rPr>
            </w:pPr>
            <w:r w:rsidRPr="00882405">
              <w:rPr>
                <w:rFonts w:eastAsia="仿宋_GB2312"/>
                <w:color w:val="000000"/>
                <w:szCs w:val="21"/>
              </w:rPr>
              <w:t>3</w:t>
            </w:r>
          </w:p>
        </w:tc>
        <w:tc>
          <w:tcPr>
            <w:tcW w:w="1554" w:type="dxa"/>
            <w:shd w:val="clear" w:color="auto" w:fill="auto"/>
            <w:vAlign w:val="center"/>
          </w:tcPr>
          <w:p w:rsidR="00B174D7" w:rsidRPr="00882405" w:rsidRDefault="00B174D7" w:rsidP="009D692C">
            <w:pPr>
              <w:jc w:val="center"/>
              <w:rPr>
                <w:rFonts w:eastAsia="仿宋_GB2312"/>
                <w:color w:val="000000"/>
                <w:szCs w:val="21"/>
              </w:rPr>
            </w:pPr>
            <w:r w:rsidRPr="00882405">
              <w:rPr>
                <w:rFonts w:eastAsia="仿宋_GB2312"/>
                <w:color w:val="000000"/>
                <w:szCs w:val="21"/>
              </w:rPr>
              <w:t>CYHB1704598</w:t>
            </w:r>
          </w:p>
        </w:tc>
        <w:tc>
          <w:tcPr>
            <w:tcW w:w="1166" w:type="dxa"/>
            <w:shd w:val="clear" w:color="auto" w:fill="auto"/>
            <w:vAlign w:val="center"/>
          </w:tcPr>
          <w:p w:rsidR="00B174D7" w:rsidRPr="00882405" w:rsidRDefault="00B174D7" w:rsidP="009D692C">
            <w:pPr>
              <w:jc w:val="center"/>
              <w:rPr>
                <w:rFonts w:eastAsia="仿宋_GB2312"/>
                <w:color w:val="000000"/>
                <w:szCs w:val="21"/>
              </w:rPr>
            </w:pPr>
            <w:r w:rsidRPr="00882405">
              <w:rPr>
                <w:rFonts w:eastAsia="仿宋_GB2312"/>
                <w:color w:val="000000"/>
                <w:szCs w:val="21"/>
              </w:rPr>
              <w:t>富马酸替诺福韦二吡呋酯片</w:t>
            </w:r>
          </w:p>
        </w:tc>
        <w:tc>
          <w:tcPr>
            <w:tcW w:w="1525" w:type="dxa"/>
            <w:shd w:val="clear" w:color="auto" w:fill="auto"/>
            <w:vAlign w:val="center"/>
          </w:tcPr>
          <w:p w:rsidR="00B174D7" w:rsidRPr="00882405" w:rsidRDefault="00B174D7" w:rsidP="009D692C">
            <w:pPr>
              <w:widowControl/>
              <w:jc w:val="center"/>
              <w:rPr>
                <w:rFonts w:eastAsia="仿宋_GB2312"/>
                <w:kern w:val="0"/>
              </w:rPr>
            </w:pPr>
            <w:proofErr w:type="spellStart"/>
            <w:r w:rsidRPr="00882405">
              <w:rPr>
                <w:rFonts w:eastAsia="仿宋_GB2312"/>
                <w:color w:val="000000"/>
                <w:kern w:val="0"/>
              </w:rPr>
              <w:t>Tenofovir</w:t>
            </w:r>
            <w:proofErr w:type="spellEnd"/>
            <w:r w:rsidRPr="00882405">
              <w:rPr>
                <w:rFonts w:eastAsia="仿宋_GB2312"/>
                <w:kern w:val="0"/>
              </w:rPr>
              <w:t xml:space="preserve"> </w:t>
            </w:r>
            <w:proofErr w:type="spellStart"/>
            <w:r w:rsidRPr="00882405">
              <w:rPr>
                <w:rFonts w:eastAsia="仿宋_GB2312"/>
                <w:color w:val="000000"/>
                <w:kern w:val="0"/>
              </w:rPr>
              <w:t>Disoproxil</w:t>
            </w:r>
            <w:proofErr w:type="spellEnd"/>
            <w:r w:rsidRPr="00882405">
              <w:rPr>
                <w:rFonts w:eastAsia="仿宋_GB2312"/>
                <w:kern w:val="0"/>
              </w:rPr>
              <w:t xml:space="preserve"> </w:t>
            </w:r>
            <w:proofErr w:type="spellStart"/>
            <w:r w:rsidRPr="00882405">
              <w:rPr>
                <w:rFonts w:eastAsia="仿宋_GB2312"/>
                <w:kern w:val="0"/>
              </w:rPr>
              <w:t>Fumarate</w:t>
            </w:r>
            <w:proofErr w:type="spellEnd"/>
            <w:r w:rsidRPr="00882405">
              <w:rPr>
                <w:rFonts w:eastAsia="仿宋_GB2312"/>
                <w:kern w:val="0"/>
              </w:rPr>
              <w:t xml:space="preserve"> Tablets</w:t>
            </w:r>
          </w:p>
        </w:tc>
        <w:tc>
          <w:tcPr>
            <w:tcW w:w="1168"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0.3g</w:t>
            </w:r>
          </w:p>
        </w:tc>
        <w:tc>
          <w:tcPr>
            <w:tcW w:w="709"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片剂</w:t>
            </w:r>
          </w:p>
        </w:tc>
        <w:tc>
          <w:tcPr>
            <w:tcW w:w="3974" w:type="dxa"/>
            <w:shd w:val="clear" w:color="auto" w:fill="auto"/>
            <w:vAlign w:val="center"/>
          </w:tcPr>
          <w:p w:rsidR="00B174D7" w:rsidRPr="00882405" w:rsidRDefault="00B174D7" w:rsidP="009D692C">
            <w:pPr>
              <w:widowControl/>
              <w:rPr>
                <w:rFonts w:eastAsia="仿宋_GB2312"/>
                <w:b/>
                <w:kern w:val="0"/>
                <w:u w:val="single"/>
              </w:rPr>
            </w:pPr>
            <w:r w:rsidRPr="00882405">
              <w:rPr>
                <w:rFonts w:eastAsia="仿宋_GB2312"/>
                <w:b/>
                <w:kern w:val="0"/>
                <w:u w:val="single"/>
              </w:rPr>
              <w:t>HIV-1</w:t>
            </w:r>
            <w:r w:rsidRPr="00882405">
              <w:rPr>
                <w:rFonts w:eastAsia="仿宋_GB2312"/>
                <w:b/>
                <w:kern w:val="0"/>
                <w:u w:val="single"/>
              </w:rPr>
              <w:t>感染</w:t>
            </w:r>
          </w:p>
          <w:p w:rsidR="00B174D7" w:rsidRPr="00882405" w:rsidRDefault="00B174D7" w:rsidP="009D692C">
            <w:pPr>
              <w:widowControl/>
              <w:ind w:firstLineChars="200" w:firstLine="420"/>
              <w:rPr>
                <w:rFonts w:eastAsia="仿宋_GB2312"/>
                <w:kern w:val="0"/>
              </w:rPr>
            </w:pPr>
            <w:r w:rsidRPr="00882405">
              <w:rPr>
                <w:rFonts w:eastAsia="仿宋_GB2312"/>
                <w:kern w:val="0"/>
              </w:rPr>
              <w:t>富马酸替诺福韦二吡呋</w:t>
            </w:r>
            <w:r w:rsidRPr="00882405">
              <w:rPr>
                <w:rFonts w:eastAsia="仿宋_GB2312"/>
                <w:color w:val="000000"/>
                <w:kern w:val="0"/>
              </w:rPr>
              <w:t>酯</w:t>
            </w:r>
            <w:r w:rsidRPr="00882405">
              <w:rPr>
                <w:rFonts w:eastAsia="仿宋_GB2312"/>
                <w:kern w:val="0"/>
              </w:rPr>
              <w:t>适用于与其他</w:t>
            </w:r>
            <w:r w:rsidRPr="00882405">
              <w:rPr>
                <w:rFonts w:eastAsia="仿宋_GB2312"/>
                <w:color w:val="000000"/>
                <w:kern w:val="0"/>
              </w:rPr>
              <w:t>抗逆转录病毒</w:t>
            </w:r>
            <w:r w:rsidRPr="00882405">
              <w:rPr>
                <w:rFonts w:eastAsia="仿宋_GB2312"/>
                <w:kern w:val="0"/>
              </w:rPr>
              <w:t>药物联用，治疗成人</w:t>
            </w:r>
            <w:r w:rsidRPr="00882405">
              <w:rPr>
                <w:rFonts w:eastAsia="仿宋_GB2312"/>
                <w:kern w:val="0"/>
              </w:rPr>
              <w:t>HIV-1</w:t>
            </w:r>
            <w:r w:rsidRPr="00882405">
              <w:rPr>
                <w:rFonts w:eastAsia="仿宋_GB2312"/>
                <w:kern w:val="0"/>
              </w:rPr>
              <w:t>感染。</w:t>
            </w:r>
          </w:p>
          <w:p w:rsidR="00B174D7" w:rsidRPr="00882405" w:rsidRDefault="00B174D7" w:rsidP="009D692C">
            <w:pPr>
              <w:widowControl/>
              <w:ind w:firstLineChars="200" w:firstLine="420"/>
              <w:rPr>
                <w:rFonts w:eastAsia="仿宋_GB2312"/>
                <w:kern w:val="0"/>
              </w:rPr>
            </w:pPr>
            <w:r w:rsidRPr="00882405">
              <w:rPr>
                <w:rFonts w:eastAsia="仿宋_GB2312"/>
                <w:kern w:val="0"/>
              </w:rPr>
              <w:t>使用富马酸替诺福韦二吡呋</w:t>
            </w:r>
            <w:r w:rsidRPr="00882405">
              <w:rPr>
                <w:rFonts w:eastAsia="仿宋_GB2312"/>
                <w:color w:val="000000"/>
                <w:kern w:val="0"/>
              </w:rPr>
              <w:t>酯</w:t>
            </w:r>
            <w:r w:rsidRPr="00882405">
              <w:rPr>
                <w:rFonts w:eastAsia="仿宋_GB2312"/>
                <w:kern w:val="0"/>
              </w:rPr>
              <w:t>开始治疗</w:t>
            </w:r>
            <w:r w:rsidRPr="00882405">
              <w:rPr>
                <w:rFonts w:eastAsia="仿宋_GB2312"/>
                <w:kern w:val="0"/>
              </w:rPr>
              <w:t xml:space="preserve"> HIV-1 </w:t>
            </w:r>
            <w:r w:rsidRPr="00882405">
              <w:rPr>
                <w:rFonts w:eastAsia="仿宋_GB2312"/>
                <w:kern w:val="0"/>
              </w:rPr>
              <w:t>感染时，应考虑以下几点：</w:t>
            </w:r>
          </w:p>
          <w:p w:rsidR="00B174D7" w:rsidRPr="00882405" w:rsidRDefault="00B174D7" w:rsidP="009D692C">
            <w:pPr>
              <w:ind w:firstLineChars="200" w:firstLine="420"/>
              <w:rPr>
                <w:rFonts w:eastAsia="仿宋_GB2312"/>
                <w:kern w:val="0"/>
              </w:rPr>
            </w:pPr>
            <w:r w:rsidRPr="00882405">
              <w:rPr>
                <w:rFonts w:eastAsia="仿宋_GB2312"/>
                <w:kern w:val="0"/>
              </w:rPr>
              <w:t>富马酸替诺福韦二吡呋</w:t>
            </w:r>
            <w:r w:rsidRPr="00882405">
              <w:rPr>
                <w:rFonts w:eastAsia="仿宋_GB2312"/>
                <w:color w:val="000000"/>
                <w:kern w:val="0"/>
              </w:rPr>
              <w:t>酯</w:t>
            </w:r>
            <w:r w:rsidRPr="00882405">
              <w:rPr>
                <w:rFonts w:eastAsia="仿宋_GB2312"/>
                <w:kern w:val="0"/>
              </w:rPr>
              <w:t>不应与含有替诺福韦的固定剂量复方制剂联用，包括：</w:t>
            </w:r>
          </w:p>
          <w:p w:rsidR="00B174D7" w:rsidRPr="00882405" w:rsidRDefault="00B174D7" w:rsidP="009D692C">
            <w:pPr>
              <w:ind w:firstLineChars="200" w:firstLine="420"/>
              <w:rPr>
                <w:rFonts w:eastAsia="仿宋_GB2312"/>
                <w:kern w:val="0"/>
              </w:rPr>
            </w:pPr>
            <w:r w:rsidRPr="00882405">
              <w:rPr>
                <w:rFonts w:eastAsia="仿宋_GB2312"/>
                <w:kern w:val="0"/>
              </w:rPr>
              <w:t>●</w:t>
            </w:r>
            <w:r w:rsidRPr="00882405">
              <w:rPr>
                <w:rFonts w:eastAsia="仿宋_GB2312"/>
                <w:color w:val="000000"/>
                <w:kern w:val="0"/>
              </w:rPr>
              <w:t>依非</w:t>
            </w:r>
            <w:r w:rsidRPr="00882405">
              <w:rPr>
                <w:rFonts w:eastAsia="仿宋_GB2312"/>
                <w:kern w:val="0"/>
              </w:rPr>
              <w:t>韦伦</w:t>
            </w:r>
            <w:r w:rsidRPr="00882405">
              <w:rPr>
                <w:rFonts w:eastAsia="仿宋_GB2312"/>
                <w:kern w:val="0"/>
              </w:rPr>
              <w:t>/</w:t>
            </w:r>
            <w:r w:rsidRPr="00882405">
              <w:rPr>
                <w:rFonts w:eastAsia="仿宋_GB2312"/>
                <w:color w:val="000000"/>
                <w:kern w:val="0"/>
              </w:rPr>
              <w:t>恩曲</w:t>
            </w:r>
            <w:r w:rsidRPr="00882405">
              <w:rPr>
                <w:rFonts w:eastAsia="仿宋_GB2312"/>
                <w:kern w:val="0"/>
              </w:rPr>
              <w:t>他</w:t>
            </w:r>
            <w:r w:rsidRPr="00882405">
              <w:rPr>
                <w:rFonts w:eastAsia="仿宋_GB2312"/>
                <w:color w:val="000000"/>
                <w:kern w:val="0"/>
              </w:rPr>
              <w:t>滨</w:t>
            </w:r>
            <w:r w:rsidRPr="00882405">
              <w:rPr>
                <w:rFonts w:eastAsia="仿宋_GB2312"/>
                <w:kern w:val="0"/>
              </w:rPr>
              <w:t>/</w:t>
            </w:r>
            <w:r w:rsidRPr="00882405">
              <w:rPr>
                <w:rFonts w:eastAsia="仿宋_GB2312"/>
                <w:kern w:val="0"/>
              </w:rPr>
              <w:t>富马酸替诺福韦二吡呋酯；</w:t>
            </w:r>
          </w:p>
          <w:p w:rsidR="00B174D7" w:rsidRPr="00882405" w:rsidRDefault="00B174D7" w:rsidP="009D692C">
            <w:pPr>
              <w:ind w:firstLineChars="200" w:firstLine="420"/>
              <w:rPr>
                <w:rFonts w:eastAsia="仿宋_GB2312"/>
                <w:kern w:val="0"/>
              </w:rPr>
            </w:pPr>
            <w:r w:rsidRPr="00882405">
              <w:rPr>
                <w:rFonts w:eastAsia="仿宋_GB2312"/>
                <w:kern w:val="0"/>
              </w:rPr>
              <w:t>●</w:t>
            </w:r>
            <w:r w:rsidRPr="00882405">
              <w:rPr>
                <w:rFonts w:eastAsia="仿宋_GB2312"/>
                <w:kern w:val="0"/>
              </w:rPr>
              <w:t>利</w:t>
            </w:r>
            <w:r w:rsidRPr="00882405">
              <w:rPr>
                <w:rFonts w:eastAsia="仿宋_GB2312"/>
                <w:color w:val="000000"/>
                <w:kern w:val="0"/>
              </w:rPr>
              <w:t>匹</w:t>
            </w:r>
            <w:r w:rsidRPr="00882405">
              <w:rPr>
                <w:rFonts w:eastAsia="仿宋_GB2312"/>
                <w:kern w:val="0"/>
              </w:rPr>
              <w:t>韦林</w:t>
            </w:r>
            <w:r w:rsidRPr="00882405">
              <w:rPr>
                <w:rFonts w:eastAsia="仿宋_GB2312"/>
                <w:kern w:val="0"/>
              </w:rPr>
              <w:t>/</w:t>
            </w:r>
            <w:r w:rsidRPr="00882405">
              <w:rPr>
                <w:rFonts w:eastAsia="仿宋_GB2312"/>
                <w:color w:val="000000"/>
                <w:kern w:val="0"/>
              </w:rPr>
              <w:t>恩曲</w:t>
            </w:r>
            <w:r w:rsidRPr="00882405">
              <w:rPr>
                <w:rFonts w:eastAsia="仿宋_GB2312"/>
                <w:kern w:val="0"/>
              </w:rPr>
              <w:t>他</w:t>
            </w:r>
            <w:r w:rsidRPr="00882405">
              <w:rPr>
                <w:rFonts w:eastAsia="仿宋_GB2312"/>
                <w:color w:val="000000"/>
                <w:kern w:val="0"/>
              </w:rPr>
              <w:t>滨</w:t>
            </w:r>
            <w:r w:rsidRPr="00882405">
              <w:rPr>
                <w:rFonts w:eastAsia="仿宋_GB2312"/>
                <w:kern w:val="0"/>
              </w:rPr>
              <w:t>/</w:t>
            </w:r>
            <w:r w:rsidRPr="00882405">
              <w:rPr>
                <w:rFonts w:eastAsia="仿宋_GB2312"/>
                <w:kern w:val="0"/>
              </w:rPr>
              <w:t>富马酸替诺福韦二吡呋酯；</w:t>
            </w:r>
          </w:p>
          <w:p w:rsidR="00B174D7" w:rsidRPr="00882405" w:rsidRDefault="00B174D7" w:rsidP="009D692C">
            <w:pPr>
              <w:widowControl/>
              <w:ind w:firstLineChars="200" w:firstLine="420"/>
              <w:rPr>
                <w:rFonts w:eastAsia="仿宋_GB2312"/>
                <w:kern w:val="0"/>
              </w:rPr>
            </w:pPr>
            <w:r w:rsidRPr="00882405">
              <w:rPr>
                <w:rFonts w:eastAsia="仿宋_GB2312"/>
                <w:kern w:val="0"/>
              </w:rPr>
              <w:t>●</w:t>
            </w:r>
            <w:r w:rsidRPr="00882405">
              <w:rPr>
                <w:rFonts w:eastAsia="仿宋_GB2312"/>
                <w:kern w:val="0"/>
              </w:rPr>
              <w:t>艾维雷</w:t>
            </w:r>
            <w:r w:rsidRPr="00882405">
              <w:rPr>
                <w:rFonts w:eastAsia="仿宋_GB2312"/>
                <w:color w:val="000000"/>
                <w:kern w:val="0"/>
              </w:rPr>
              <w:t>韦</w:t>
            </w:r>
            <w:r w:rsidRPr="00882405">
              <w:rPr>
                <w:rFonts w:eastAsia="仿宋_GB2312"/>
                <w:kern w:val="0"/>
              </w:rPr>
              <w:t>/</w:t>
            </w:r>
            <w:r w:rsidRPr="00882405">
              <w:rPr>
                <w:rFonts w:eastAsia="仿宋_GB2312"/>
                <w:kern w:val="0"/>
              </w:rPr>
              <w:t>克比司特</w:t>
            </w:r>
            <w:r w:rsidRPr="00882405">
              <w:rPr>
                <w:rFonts w:eastAsia="仿宋_GB2312"/>
                <w:kern w:val="0"/>
              </w:rPr>
              <w:t>/</w:t>
            </w:r>
            <w:r w:rsidRPr="00882405">
              <w:rPr>
                <w:rFonts w:eastAsia="仿宋_GB2312"/>
                <w:color w:val="000000"/>
                <w:kern w:val="0"/>
              </w:rPr>
              <w:t>恩曲</w:t>
            </w:r>
            <w:r w:rsidRPr="00882405">
              <w:rPr>
                <w:rFonts w:eastAsia="仿宋_GB2312"/>
                <w:kern w:val="0"/>
              </w:rPr>
              <w:t>他</w:t>
            </w:r>
            <w:r w:rsidRPr="00882405">
              <w:rPr>
                <w:rFonts w:eastAsia="仿宋_GB2312"/>
                <w:color w:val="000000"/>
                <w:kern w:val="0"/>
              </w:rPr>
              <w:t>滨</w:t>
            </w:r>
            <w:r w:rsidRPr="00882405">
              <w:rPr>
                <w:rFonts w:eastAsia="仿宋_GB2312"/>
                <w:kern w:val="0"/>
              </w:rPr>
              <w:t>/</w:t>
            </w:r>
            <w:r w:rsidRPr="00882405">
              <w:rPr>
                <w:rFonts w:eastAsia="仿宋_GB2312"/>
                <w:kern w:val="0"/>
              </w:rPr>
              <w:t>富马</w:t>
            </w:r>
          </w:p>
        </w:tc>
        <w:tc>
          <w:tcPr>
            <w:tcW w:w="1124" w:type="dxa"/>
            <w:shd w:val="clear" w:color="auto" w:fill="auto"/>
            <w:vAlign w:val="center"/>
          </w:tcPr>
          <w:p w:rsidR="00B174D7" w:rsidRPr="00882405" w:rsidRDefault="00B174D7" w:rsidP="009D692C">
            <w:pPr>
              <w:widowControl/>
              <w:jc w:val="center"/>
              <w:rPr>
                <w:rFonts w:eastAsia="仿宋_GB2312"/>
                <w:color w:val="000000"/>
                <w:kern w:val="0"/>
                <w:sz w:val="20"/>
                <w:szCs w:val="20"/>
              </w:rPr>
            </w:pPr>
            <w:r w:rsidRPr="00882405">
              <w:rPr>
                <w:rFonts w:eastAsia="仿宋_GB2312"/>
                <w:color w:val="000000"/>
                <w:kern w:val="0"/>
                <w:sz w:val="20"/>
                <w:szCs w:val="20"/>
              </w:rPr>
              <w:t>齐鲁制药有限公司</w:t>
            </w:r>
          </w:p>
        </w:tc>
        <w:tc>
          <w:tcPr>
            <w:tcW w:w="1208" w:type="dxa"/>
            <w:shd w:val="clear" w:color="auto" w:fill="auto"/>
            <w:vAlign w:val="center"/>
          </w:tcPr>
          <w:p w:rsidR="00B174D7" w:rsidRPr="00882405" w:rsidRDefault="00B174D7" w:rsidP="009D692C">
            <w:pPr>
              <w:widowControl/>
              <w:jc w:val="center"/>
              <w:rPr>
                <w:rFonts w:eastAsia="仿宋_GB2312"/>
                <w:color w:val="000000"/>
                <w:kern w:val="0"/>
                <w:sz w:val="20"/>
                <w:szCs w:val="20"/>
              </w:rPr>
            </w:pPr>
            <w:r w:rsidRPr="00882405">
              <w:rPr>
                <w:rFonts w:eastAsia="仿宋_GB2312"/>
                <w:color w:val="000000"/>
                <w:kern w:val="0"/>
                <w:sz w:val="20"/>
                <w:szCs w:val="20"/>
              </w:rPr>
              <w:t>国药准字</w:t>
            </w:r>
            <w:r w:rsidRPr="00882405">
              <w:rPr>
                <w:rFonts w:eastAsia="仿宋_GB2312"/>
                <w:color w:val="000000"/>
                <w:kern w:val="0"/>
                <w:sz w:val="20"/>
                <w:szCs w:val="20"/>
              </w:rPr>
              <w:t>H20173185</w:t>
            </w:r>
          </w:p>
        </w:tc>
        <w:tc>
          <w:tcPr>
            <w:tcW w:w="1282" w:type="dxa"/>
            <w:shd w:val="clear" w:color="auto" w:fill="auto"/>
            <w:vAlign w:val="center"/>
          </w:tcPr>
          <w:p w:rsidR="00B174D7" w:rsidRPr="00882405" w:rsidRDefault="00B174D7" w:rsidP="009D692C">
            <w:pPr>
              <w:widowControl/>
              <w:jc w:val="center"/>
              <w:rPr>
                <w:rFonts w:eastAsia="仿宋_GB2312"/>
                <w:color w:val="000000"/>
                <w:kern w:val="0"/>
                <w:sz w:val="20"/>
                <w:szCs w:val="20"/>
              </w:rPr>
            </w:pPr>
            <w:r w:rsidRPr="00882405">
              <w:rPr>
                <w:rFonts w:eastAsia="仿宋_GB2312"/>
                <w:color w:val="000000"/>
                <w:kern w:val="0"/>
                <w:sz w:val="20"/>
                <w:szCs w:val="20"/>
              </w:rPr>
              <w:t>否</w:t>
            </w:r>
          </w:p>
        </w:tc>
      </w:tr>
      <w:tr w:rsidR="00B174D7" w:rsidRPr="00882405" w:rsidTr="009D692C">
        <w:trPr>
          <w:trHeight w:val="5501"/>
          <w:jc w:val="center"/>
        </w:trPr>
        <w:tc>
          <w:tcPr>
            <w:tcW w:w="835" w:type="dxa"/>
            <w:shd w:val="clear" w:color="auto" w:fill="auto"/>
            <w:vAlign w:val="center"/>
          </w:tcPr>
          <w:p w:rsidR="00B174D7" w:rsidRPr="006E0884" w:rsidRDefault="00B174D7" w:rsidP="009D692C">
            <w:pPr>
              <w:jc w:val="center"/>
              <w:rPr>
                <w:rFonts w:eastAsia="仿宋_GB2312"/>
                <w:color w:val="000000"/>
                <w:szCs w:val="21"/>
              </w:rPr>
            </w:pPr>
            <w:r>
              <w:rPr>
                <w:rFonts w:eastAsia="仿宋_GB2312" w:hint="eastAsia"/>
                <w:color w:val="000000"/>
                <w:szCs w:val="21"/>
              </w:rPr>
              <w:lastRenderedPageBreak/>
              <w:t>3</w:t>
            </w:r>
          </w:p>
        </w:tc>
        <w:tc>
          <w:tcPr>
            <w:tcW w:w="1554" w:type="dxa"/>
            <w:shd w:val="clear" w:color="auto" w:fill="auto"/>
            <w:vAlign w:val="center"/>
          </w:tcPr>
          <w:p w:rsidR="00B174D7" w:rsidRPr="006E0884" w:rsidRDefault="00B174D7" w:rsidP="009D692C">
            <w:pPr>
              <w:jc w:val="center"/>
              <w:rPr>
                <w:rFonts w:eastAsia="仿宋_GB2312"/>
                <w:color w:val="000000"/>
                <w:szCs w:val="21"/>
              </w:rPr>
            </w:pPr>
            <w:r w:rsidRPr="003A2801">
              <w:rPr>
                <w:rFonts w:eastAsia="仿宋_GB2312"/>
                <w:color w:val="000000"/>
                <w:szCs w:val="21"/>
              </w:rPr>
              <w:t>CYHB1704598</w:t>
            </w:r>
          </w:p>
        </w:tc>
        <w:tc>
          <w:tcPr>
            <w:tcW w:w="1166" w:type="dxa"/>
            <w:shd w:val="clear" w:color="auto" w:fill="auto"/>
            <w:vAlign w:val="center"/>
          </w:tcPr>
          <w:p w:rsidR="00B174D7" w:rsidRPr="006E0884" w:rsidRDefault="00B174D7" w:rsidP="009D692C">
            <w:pPr>
              <w:jc w:val="center"/>
              <w:rPr>
                <w:rFonts w:eastAsia="仿宋_GB2312"/>
                <w:color w:val="000000"/>
                <w:szCs w:val="21"/>
              </w:rPr>
            </w:pPr>
            <w:r w:rsidRPr="003A2801">
              <w:rPr>
                <w:rFonts w:eastAsia="仿宋_GB2312"/>
                <w:color w:val="000000"/>
                <w:szCs w:val="21"/>
              </w:rPr>
              <w:t>富马酸替诺福韦二吡呋酯片</w:t>
            </w:r>
          </w:p>
        </w:tc>
        <w:tc>
          <w:tcPr>
            <w:tcW w:w="1525" w:type="dxa"/>
            <w:shd w:val="clear" w:color="auto" w:fill="auto"/>
            <w:vAlign w:val="center"/>
          </w:tcPr>
          <w:p w:rsidR="00B174D7" w:rsidRPr="006E0884" w:rsidRDefault="00B174D7" w:rsidP="009D692C">
            <w:pPr>
              <w:widowControl/>
              <w:jc w:val="center"/>
              <w:rPr>
                <w:rFonts w:eastAsia="仿宋_GB2312"/>
                <w:color w:val="000000"/>
                <w:kern w:val="0"/>
              </w:rPr>
            </w:pPr>
            <w:proofErr w:type="spellStart"/>
            <w:r w:rsidRPr="003A2801">
              <w:rPr>
                <w:rFonts w:eastAsia="仿宋_GB2312"/>
                <w:color w:val="000000"/>
                <w:kern w:val="0"/>
              </w:rPr>
              <w:t>Tenofovir</w:t>
            </w:r>
            <w:proofErr w:type="spellEnd"/>
            <w:r w:rsidRPr="003A2801">
              <w:rPr>
                <w:rFonts w:eastAsia="仿宋_GB2312"/>
                <w:kern w:val="0"/>
              </w:rPr>
              <w:t xml:space="preserve"> </w:t>
            </w:r>
            <w:proofErr w:type="spellStart"/>
            <w:r w:rsidRPr="003A2801">
              <w:rPr>
                <w:rFonts w:eastAsia="仿宋_GB2312"/>
                <w:color w:val="000000"/>
                <w:kern w:val="0"/>
              </w:rPr>
              <w:t>Disoproxil</w:t>
            </w:r>
            <w:proofErr w:type="spellEnd"/>
            <w:r w:rsidRPr="003A2801">
              <w:rPr>
                <w:rFonts w:eastAsia="仿宋_GB2312"/>
                <w:kern w:val="0"/>
              </w:rPr>
              <w:t xml:space="preserve"> </w:t>
            </w:r>
            <w:proofErr w:type="spellStart"/>
            <w:r w:rsidRPr="003A2801">
              <w:rPr>
                <w:rFonts w:eastAsia="仿宋_GB2312"/>
                <w:kern w:val="0"/>
              </w:rPr>
              <w:t>Fumarate</w:t>
            </w:r>
            <w:proofErr w:type="spellEnd"/>
            <w:r w:rsidRPr="003A2801">
              <w:rPr>
                <w:rFonts w:eastAsia="仿宋_GB2312"/>
                <w:kern w:val="0"/>
              </w:rPr>
              <w:t xml:space="preserve"> Tablets</w:t>
            </w:r>
          </w:p>
        </w:tc>
        <w:tc>
          <w:tcPr>
            <w:tcW w:w="1168" w:type="dxa"/>
            <w:shd w:val="clear" w:color="auto" w:fill="auto"/>
            <w:vAlign w:val="center"/>
          </w:tcPr>
          <w:p w:rsidR="00B174D7" w:rsidRPr="006E0884" w:rsidRDefault="00B174D7" w:rsidP="009D692C">
            <w:pPr>
              <w:widowControl/>
              <w:jc w:val="center"/>
              <w:rPr>
                <w:rFonts w:eastAsia="仿宋_GB2312"/>
                <w:kern w:val="0"/>
              </w:rPr>
            </w:pPr>
            <w:r w:rsidRPr="003A2801">
              <w:rPr>
                <w:rFonts w:eastAsia="仿宋_GB2312"/>
                <w:kern w:val="0"/>
              </w:rPr>
              <w:t>0.3g</w:t>
            </w:r>
          </w:p>
        </w:tc>
        <w:tc>
          <w:tcPr>
            <w:tcW w:w="709" w:type="dxa"/>
            <w:shd w:val="clear" w:color="auto" w:fill="auto"/>
            <w:vAlign w:val="center"/>
          </w:tcPr>
          <w:p w:rsidR="00B174D7" w:rsidRPr="006E0884" w:rsidRDefault="00B174D7" w:rsidP="009D692C">
            <w:pPr>
              <w:widowControl/>
              <w:jc w:val="center"/>
              <w:rPr>
                <w:rFonts w:eastAsia="仿宋_GB2312"/>
                <w:kern w:val="0"/>
              </w:rPr>
            </w:pPr>
            <w:r w:rsidRPr="003A2801">
              <w:rPr>
                <w:rFonts w:eastAsia="仿宋_GB2312"/>
                <w:kern w:val="0"/>
              </w:rPr>
              <w:t>片剂</w:t>
            </w:r>
          </w:p>
        </w:tc>
        <w:tc>
          <w:tcPr>
            <w:tcW w:w="3974" w:type="dxa"/>
            <w:shd w:val="clear" w:color="auto" w:fill="auto"/>
            <w:vAlign w:val="center"/>
          </w:tcPr>
          <w:p w:rsidR="00B174D7" w:rsidRPr="003A2801" w:rsidRDefault="00B174D7" w:rsidP="009D692C">
            <w:pPr>
              <w:widowControl/>
              <w:ind w:firstLineChars="200" w:firstLine="420"/>
              <w:rPr>
                <w:rFonts w:eastAsia="仿宋_GB2312"/>
                <w:kern w:val="0"/>
              </w:rPr>
            </w:pPr>
            <w:r w:rsidRPr="003A2801">
              <w:rPr>
                <w:rFonts w:eastAsia="仿宋_GB2312"/>
                <w:kern w:val="0"/>
              </w:rPr>
              <w:t>酸替诺福韦二吡呋酯；</w:t>
            </w:r>
          </w:p>
          <w:p w:rsidR="00B174D7" w:rsidRPr="003A2801" w:rsidRDefault="00B174D7" w:rsidP="009D692C">
            <w:pPr>
              <w:widowControl/>
              <w:ind w:firstLineChars="200" w:firstLine="420"/>
              <w:rPr>
                <w:rFonts w:eastAsia="仿宋_GB2312"/>
                <w:kern w:val="0"/>
              </w:rPr>
            </w:pPr>
            <w:r w:rsidRPr="003A2801">
              <w:rPr>
                <w:rFonts w:eastAsia="仿宋_GB2312"/>
                <w:kern w:val="0"/>
              </w:rPr>
              <w:t>●</w:t>
            </w:r>
            <w:r w:rsidRPr="003A2801">
              <w:rPr>
                <w:rFonts w:eastAsia="仿宋_GB2312"/>
                <w:color w:val="000000"/>
                <w:kern w:val="0"/>
              </w:rPr>
              <w:t>恩曲</w:t>
            </w:r>
            <w:r w:rsidRPr="003A2801">
              <w:rPr>
                <w:rFonts w:eastAsia="仿宋_GB2312"/>
                <w:kern w:val="0"/>
              </w:rPr>
              <w:t>他</w:t>
            </w:r>
            <w:r w:rsidRPr="003A2801">
              <w:rPr>
                <w:rFonts w:eastAsia="仿宋_GB2312"/>
                <w:color w:val="000000"/>
                <w:kern w:val="0"/>
              </w:rPr>
              <w:t>滨</w:t>
            </w:r>
            <w:r w:rsidRPr="003A2801">
              <w:rPr>
                <w:rFonts w:eastAsia="仿宋_GB2312"/>
                <w:kern w:val="0"/>
              </w:rPr>
              <w:t>替诺福韦。</w:t>
            </w:r>
          </w:p>
          <w:p w:rsidR="00B174D7" w:rsidRPr="003A2801" w:rsidRDefault="00B174D7" w:rsidP="009D692C">
            <w:pPr>
              <w:widowControl/>
              <w:rPr>
                <w:rFonts w:eastAsia="仿宋_GB2312"/>
                <w:b/>
                <w:kern w:val="0"/>
                <w:u w:val="single"/>
              </w:rPr>
            </w:pPr>
            <w:r w:rsidRPr="003A2801">
              <w:rPr>
                <w:rFonts w:eastAsia="仿宋_GB2312"/>
                <w:b/>
                <w:kern w:val="0"/>
                <w:u w:val="single"/>
              </w:rPr>
              <w:t>慢性乙型肝炎</w:t>
            </w:r>
          </w:p>
          <w:p w:rsidR="00B174D7" w:rsidRPr="003A2801" w:rsidRDefault="00B174D7" w:rsidP="009D692C">
            <w:pPr>
              <w:widowControl/>
              <w:ind w:firstLineChars="200" w:firstLine="420"/>
              <w:rPr>
                <w:rFonts w:eastAsia="仿宋_GB2312"/>
                <w:kern w:val="0"/>
              </w:rPr>
            </w:pPr>
            <w:r w:rsidRPr="003A2801">
              <w:rPr>
                <w:rFonts w:eastAsia="仿宋_GB2312"/>
                <w:kern w:val="0"/>
              </w:rPr>
              <w:t>富马酸替诺福韦二吡呋</w:t>
            </w:r>
            <w:r w:rsidRPr="003A2801">
              <w:rPr>
                <w:rFonts w:eastAsia="仿宋_GB2312"/>
                <w:color w:val="000000"/>
                <w:kern w:val="0"/>
              </w:rPr>
              <w:t>酯</w:t>
            </w:r>
            <w:r w:rsidRPr="003A2801">
              <w:rPr>
                <w:rFonts w:eastAsia="仿宋_GB2312"/>
                <w:kern w:val="0"/>
              </w:rPr>
              <w:t>适用于治疗慢性乙肝成人和</w:t>
            </w:r>
            <w:r w:rsidRPr="00882405">
              <w:rPr>
                <w:rFonts w:ascii="仿宋_GB2312" w:eastAsia="仿宋_GB2312" w:hint="eastAsia"/>
                <w:kern w:val="0"/>
              </w:rPr>
              <w:t>≥</w:t>
            </w:r>
            <w:r w:rsidRPr="003A2801">
              <w:rPr>
                <w:rFonts w:eastAsia="仿宋_GB2312"/>
                <w:kern w:val="0"/>
              </w:rPr>
              <w:t>12</w:t>
            </w:r>
            <w:r w:rsidRPr="003A2801">
              <w:rPr>
                <w:rFonts w:eastAsia="仿宋_GB2312"/>
                <w:kern w:val="0"/>
              </w:rPr>
              <w:t>岁的儿童患者。</w:t>
            </w:r>
          </w:p>
          <w:p w:rsidR="00B174D7" w:rsidRPr="003A2801" w:rsidRDefault="00B174D7" w:rsidP="009D692C">
            <w:pPr>
              <w:widowControl/>
              <w:ind w:firstLineChars="200" w:firstLine="420"/>
              <w:rPr>
                <w:rFonts w:eastAsia="仿宋_GB2312"/>
                <w:kern w:val="0"/>
              </w:rPr>
            </w:pPr>
            <w:r w:rsidRPr="003A2801">
              <w:rPr>
                <w:rFonts w:eastAsia="仿宋_GB2312"/>
                <w:kern w:val="0"/>
              </w:rPr>
              <w:t>在开始使用富马酸替诺福韦二吡呋</w:t>
            </w:r>
            <w:r w:rsidRPr="003A2801">
              <w:rPr>
                <w:rFonts w:eastAsia="仿宋_GB2312"/>
                <w:color w:val="000000"/>
                <w:kern w:val="0"/>
              </w:rPr>
              <w:t>酯</w:t>
            </w:r>
            <w:r w:rsidRPr="003A2801">
              <w:rPr>
                <w:rFonts w:eastAsia="仿宋_GB2312"/>
                <w:kern w:val="0"/>
              </w:rPr>
              <w:t>治疗</w:t>
            </w:r>
            <w:r w:rsidRPr="003A2801">
              <w:rPr>
                <w:rFonts w:eastAsia="仿宋_GB2312"/>
                <w:kern w:val="0"/>
              </w:rPr>
              <w:t>HBV</w:t>
            </w:r>
            <w:r w:rsidRPr="003A2801">
              <w:rPr>
                <w:rFonts w:eastAsia="仿宋_GB2312"/>
                <w:kern w:val="0"/>
              </w:rPr>
              <w:t>感染时，应考虑到以下要点：</w:t>
            </w:r>
          </w:p>
          <w:p w:rsidR="00B174D7" w:rsidRPr="003A2801" w:rsidRDefault="00B174D7" w:rsidP="009D692C">
            <w:pPr>
              <w:widowControl/>
              <w:ind w:firstLineChars="200" w:firstLine="420"/>
              <w:rPr>
                <w:rFonts w:eastAsia="仿宋_GB2312"/>
                <w:kern w:val="0"/>
              </w:rPr>
            </w:pPr>
            <w:r w:rsidRPr="003A2801">
              <w:rPr>
                <w:rFonts w:eastAsia="仿宋_GB2312"/>
                <w:kern w:val="0"/>
              </w:rPr>
              <w:t>●</w:t>
            </w:r>
            <w:r w:rsidRPr="003A2801">
              <w:rPr>
                <w:rFonts w:eastAsia="仿宋_GB2312"/>
                <w:kern w:val="0"/>
              </w:rPr>
              <w:t>成人患者中该</w:t>
            </w:r>
            <w:r w:rsidRPr="003A2801">
              <w:rPr>
                <w:rFonts w:eastAsia="仿宋_GB2312"/>
                <w:color w:val="000000"/>
                <w:kern w:val="0"/>
              </w:rPr>
              <w:t>适应症的</w:t>
            </w:r>
            <w:r w:rsidRPr="003A2801">
              <w:rPr>
                <w:rFonts w:eastAsia="仿宋_GB2312"/>
                <w:kern w:val="0"/>
              </w:rPr>
              <w:t>确立基于从初次接受核苷治疗的受试者和既往接受过治疗且证实拉米夫定耐药的受试者中获得的安全性和疗效数据。受试者为肝功能代偿的</w:t>
            </w:r>
            <w:proofErr w:type="spellStart"/>
            <w:r w:rsidRPr="003A2801">
              <w:rPr>
                <w:rFonts w:eastAsia="仿宋_GB2312"/>
                <w:kern w:val="0"/>
              </w:rPr>
              <w:t>HBeAg</w:t>
            </w:r>
            <w:proofErr w:type="spellEnd"/>
            <w:r w:rsidRPr="003A2801">
              <w:rPr>
                <w:rFonts w:eastAsia="仿宋_GB2312"/>
                <w:kern w:val="0"/>
              </w:rPr>
              <w:t>阳性和</w:t>
            </w:r>
            <w:proofErr w:type="spellStart"/>
            <w:r w:rsidRPr="003A2801">
              <w:rPr>
                <w:rFonts w:eastAsia="仿宋_GB2312"/>
                <w:kern w:val="0"/>
              </w:rPr>
              <w:t>HBeAg</w:t>
            </w:r>
            <w:proofErr w:type="spellEnd"/>
            <w:r w:rsidRPr="003A2801">
              <w:rPr>
                <w:rFonts w:eastAsia="仿宋_GB2312"/>
                <w:kern w:val="0"/>
              </w:rPr>
              <w:t>阴性慢性乙肝成人受试者。</w:t>
            </w:r>
          </w:p>
          <w:p w:rsidR="00B174D7" w:rsidRPr="003A2801" w:rsidRDefault="00B174D7" w:rsidP="009D692C">
            <w:pPr>
              <w:widowControl/>
              <w:ind w:firstLineChars="200" w:firstLine="420"/>
              <w:rPr>
                <w:rFonts w:eastAsia="仿宋_GB2312"/>
                <w:kern w:val="0"/>
              </w:rPr>
            </w:pPr>
            <w:r w:rsidRPr="003A2801">
              <w:rPr>
                <w:rFonts w:eastAsia="仿宋_GB2312"/>
                <w:kern w:val="0"/>
              </w:rPr>
              <w:t>●</w:t>
            </w:r>
            <w:r w:rsidRPr="003A2801">
              <w:rPr>
                <w:rFonts w:eastAsia="仿宋_GB2312"/>
                <w:kern w:val="0"/>
              </w:rPr>
              <w:t>富马酸替诺福韦二吡呋</w:t>
            </w:r>
            <w:r w:rsidRPr="003A2801">
              <w:rPr>
                <w:rFonts w:eastAsia="仿宋_GB2312"/>
                <w:color w:val="000000"/>
                <w:kern w:val="0"/>
              </w:rPr>
              <w:t>酯</w:t>
            </w:r>
            <w:r w:rsidRPr="003A2801">
              <w:rPr>
                <w:rFonts w:eastAsia="仿宋_GB2312"/>
                <w:kern w:val="0"/>
              </w:rPr>
              <w:t>在数量有限的患有失代偿期肝病的慢性乙肝受试者中进行过评价。</w:t>
            </w:r>
          </w:p>
          <w:p w:rsidR="00B174D7" w:rsidRPr="006E0884" w:rsidRDefault="00B174D7" w:rsidP="009D692C">
            <w:pPr>
              <w:widowControl/>
              <w:rPr>
                <w:rFonts w:eastAsia="仿宋_GB2312"/>
                <w:b/>
                <w:kern w:val="0"/>
                <w:u w:val="single"/>
              </w:rPr>
            </w:pPr>
            <w:r w:rsidRPr="003A2801">
              <w:rPr>
                <w:rFonts w:eastAsia="仿宋_GB2312"/>
                <w:kern w:val="0"/>
              </w:rPr>
              <w:t>●</w:t>
            </w:r>
            <w:r w:rsidRPr="003A2801">
              <w:rPr>
                <w:rFonts w:eastAsia="仿宋_GB2312"/>
                <w:kern w:val="0"/>
              </w:rPr>
              <w:t>临床试验中基线时存在阿德福韦相关突变的受试者数量太少，因此尚无法对疗效下结论。</w:t>
            </w:r>
          </w:p>
        </w:tc>
        <w:tc>
          <w:tcPr>
            <w:tcW w:w="1124" w:type="dxa"/>
            <w:shd w:val="clear" w:color="auto" w:fill="auto"/>
            <w:vAlign w:val="center"/>
          </w:tcPr>
          <w:p w:rsidR="00B174D7" w:rsidRPr="006E0884" w:rsidRDefault="00B174D7" w:rsidP="009D692C">
            <w:pPr>
              <w:widowControl/>
              <w:jc w:val="center"/>
              <w:rPr>
                <w:rFonts w:eastAsia="仿宋_GB2312"/>
                <w:color w:val="000000"/>
                <w:kern w:val="0"/>
                <w:sz w:val="20"/>
                <w:szCs w:val="20"/>
              </w:rPr>
            </w:pPr>
            <w:r w:rsidRPr="003A2801">
              <w:rPr>
                <w:rFonts w:eastAsia="仿宋_GB2312"/>
                <w:color w:val="000000"/>
                <w:kern w:val="0"/>
                <w:sz w:val="20"/>
                <w:szCs w:val="20"/>
              </w:rPr>
              <w:t>齐鲁制药有限公司</w:t>
            </w:r>
          </w:p>
        </w:tc>
        <w:tc>
          <w:tcPr>
            <w:tcW w:w="1208" w:type="dxa"/>
            <w:shd w:val="clear" w:color="auto" w:fill="auto"/>
            <w:vAlign w:val="center"/>
          </w:tcPr>
          <w:p w:rsidR="00B174D7" w:rsidRPr="006E0884" w:rsidRDefault="00B174D7" w:rsidP="009D692C">
            <w:pPr>
              <w:widowControl/>
              <w:jc w:val="center"/>
              <w:rPr>
                <w:rFonts w:eastAsia="仿宋_GB2312"/>
                <w:color w:val="000000"/>
                <w:kern w:val="0"/>
                <w:sz w:val="20"/>
                <w:szCs w:val="20"/>
              </w:rPr>
            </w:pPr>
            <w:r w:rsidRPr="003A2801">
              <w:rPr>
                <w:rFonts w:eastAsia="仿宋_GB2312"/>
                <w:color w:val="000000"/>
                <w:kern w:val="0"/>
                <w:sz w:val="20"/>
                <w:szCs w:val="20"/>
              </w:rPr>
              <w:t>国药准字</w:t>
            </w:r>
            <w:r w:rsidRPr="003A2801">
              <w:rPr>
                <w:rFonts w:eastAsia="仿宋_GB2312"/>
                <w:color w:val="000000"/>
                <w:kern w:val="0"/>
                <w:sz w:val="20"/>
                <w:szCs w:val="20"/>
              </w:rPr>
              <w:t>H20173185</w:t>
            </w:r>
          </w:p>
        </w:tc>
        <w:tc>
          <w:tcPr>
            <w:tcW w:w="1282" w:type="dxa"/>
            <w:shd w:val="clear" w:color="auto" w:fill="auto"/>
            <w:vAlign w:val="center"/>
          </w:tcPr>
          <w:p w:rsidR="00B174D7" w:rsidRPr="006E0884" w:rsidRDefault="00B174D7" w:rsidP="009D692C">
            <w:pPr>
              <w:widowControl/>
              <w:jc w:val="center"/>
              <w:rPr>
                <w:rFonts w:eastAsia="仿宋_GB2312"/>
                <w:color w:val="000000"/>
                <w:kern w:val="0"/>
                <w:sz w:val="20"/>
                <w:szCs w:val="20"/>
              </w:rPr>
            </w:pPr>
            <w:r w:rsidRPr="003A2801">
              <w:rPr>
                <w:rFonts w:eastAsia="仿宋_GB2312"/>
                <w:color w:val="000000"/>
                <w:kern w:val="0"/>
                <w:sz w:val="20"/>
                <w:szCs w:val="20"/>
              </w:rPr>
              <w:t>否</w:t>
            </w:r>
          </w:p>
        </w:tc>
      </w:tr>
      <w:tr w:rsidR="00B174D7" w:rsidRPr="00882405" w:rsidTr="009D692C">
        <w:trPr>
          <w:trHeight w:val="1605"/>
          <w:jc w:val="center"/>
        </w:trPr>
        <w:tc>
          <w:tcPr>
            <w:tcW w:w="835" w:type="dxa"/>
            <w:shd w:val="clear" w:color="auto" w:fill="auto"/>
            <w:vAlign w:val="center"/>
          </w:tcPr>
          <w:p w:rsidR="00B174D7" w:rsidRPr="00882405" w:rsidRDefault="00B174D7" w:rsidP="009D692C">
            <w:pPr>
              <w:jc w:val="center"/>
              <w:rPr>
                <w:rFonts w:eastAsia="仿宋_GB2312"/>
                <w:color w:val="000000"/>
                <w:szCs w:val="21"/>
              </w:rPr>
            </w:pPr>
            <w:r w:rsidRPr="00882405">
              <w:rPr>
                <w:rFonts w:eastAsia="仿宋_GB2312"/>
                <w:color w:val="000000"/>
                <w:szCs w:val="21"/>
              </w:rPr>
              <w:t>4</w:t>
            </w:r>
          </w:p>
        </w:tc>
        <w:tc>
          <w:tcPr>
            <w:tcW w:w="1554" w:type="dxa"/>
            <w:shd w:val="clear" w:color="auto" w:fill="auto"/>
            <w:vAlign w:val="center"/>
          </w:tcPr>
          <w:p w:rsidR="00B174D7" w:rsidRPr="00882405" w:rsidRDefault="00B174D7" w:rsidP="009D692C">
            <w:pPr>
              <w:jc w:val="center"/>
              <w:rPr>
                <w:rFonts w:eastAsia="仿宋_GB2312"/>
                <w:color w:val="000000"/>
                <w:szCs w:val="21"/>
              </w:rPr>
            </w:pPr>
            <w:r w:rsidRPr="00882405">
              <w:rPr>
                <w:rFonts w:eastAsia="仿宋_GB2312"/>
                <w:color w:val="000000"/>
                <w:szCs w:val="21"/>
              </w:rPr>
              <w:t>CYHB1704091</w:t>
            </w:r>
          </w:p>
        </w:tc>
        <w:tc>
          <w:tcPr>
            <w:tcW w:w="1166" w:type="dxa"/>
            <w:shd w:val="clear" w:color="auto" w:fill="auto"/>
            <w:vAlign w:val="center"/>
          </w:tcPr>
          <w:p w:rsidR="00B174D7" w:rsidRDefault="00B174D7" w:rsidP="009D692C">
            <w:pPr>
              <w:jc w:val="center"/>
              <w:rPr>
                <w:rFonts w:eastAsia="仿宋_GB2312"/>
                <w:color w:val="000000"/>
                <w:szCs w:val="21"/>
              </w:rPr>
            </w:pPr>
            <w:r w:rsidRPr="00882405">
              <w:rPr>
                <w:rFonts w:eastAsia="仿宋_GB2312"/>
                <w:color w:val="000000"/>
                <w:szCs w:val="21"/>
              </w:rPr>
              <w:t>草酸艾司西酞普</w:t>
            </w:r>
          </w:p>
          <w:p w:rsidR="00B174D7" w:rsidRPr="00882405" w:rsidRDefault="00B174D7" w:rsidP="009D692C">
            <w:pPr>
              <w:jc w:val="center"/>
              <w:rPr>
                <w:rFonts w:eastAsia="仿宋_GB2312"/>
                <w:color w:val="000000"/>
                <w:szCs w:val="21"/>
              </w:rPr>
            </w:pPr>
            <w:r w:rsidRPr="00BC5564">
              <w:rPr>
                <w:rFonts w:eastAsia="仿宋_GB2312"/>
                <w:color w:val="000000"/>
                <w:szCs w:val="21"/>
              </w:rPr>
              <w:t>兰片</w:t>
            </w:r>
          </w:p>
        </w:tc>
        <w:tc>
          <w:tcPr>
            <w:tcW w:w="1525" w:type="dxa"/>
            <w:shd w:val="clear" w:color="auto" w:fill="auto"/>
            <w:vAlign w:val="center"/>
          </w:tcPr>
          <w:p w:rsidR="00B174D7" w:rsidRPr="00882405" w:rsidRDefault="00B174D7" w:rsidP="009D692C">
            <w:pPr>
              <w:widowControl/>
              <w:jc w:val="center"/>
              <w:rPr>
                <w:rFonts w:eastAsia="仿宋_GB2312"/>
                <w:kern w:val="0"/>
              </w:rPr>
            </w:pPr>
            <w:proofErr w:type="spellStart"/>
            <w:r w:rsidRPr="00882405">
              <w:rPr>
                <w:rFonts w:eastAsia="仿宋_GB2312"/>
                <w:color w:val="000000"/>
                <w:kern w:val="0"/>
              </w:rPr>
              <w:t>Escitalopram</w:t>
            </w:r>
            <w:proofErr w:type="spellEnd"/>
            <w:r w:rsidRPr="00882405">
              <w:rPr>
                <w:rFonts w:eastAsia="仿宋_GB2312"/>
                <w:kern w:val="0"/>
              </w:rPr>
              <w:t xml:space="preserve"> Oxalate Tablets</w:t>
            </w:r>
          </w:p>
        </w:tc>
        <w:tc>
          <w:tcPr>
            <w:tcW w:w="1168"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10mg</w:t>
            </w:r>
          </w:p>
        </w:tc>
        <w:tc>
          <w:tcPr>
            <w:tcW w:w="709"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片剂</w:t>
            </w:r>
          </w:p>
        </w:tc>
        <w:tc>
          <w:tcPr>
            <w:tcW w:w="3974" w:type="dxa"/>
            <w:shd w:val="clear" w:color="auto" w:fill="auto"/>
            <w:vAlign w:val="center"/>
          </w:tcPr>
          <w:p w:rsidR="00B174D7" w:rsidRPr="00882405" w:rsidRDefault="00B174D7" w:rsidP="009D692C">
            <w:pPr>
              <w:widowControl/>
              <w:rPr>
                <w:rFonts w:eastAsia="仿宋_GB2312"/>
                <w:kern w:val="0"/>
              </w:rPr>
            </w:pPr>
            <w:r w:rsidRPr="00882405">
              <w:rPr>
                <w:rFonts w:eastAsia="仿宋_GB2312"/>
                <w:kern w:val="0"/>
              </w:rPr>
              <w:t>治疗抑郁症。治疗伴有或不伴有广场恐怖症的惊恐障碍。</w:t>
            </w:r>
          </w:p>
        </w:tc>
        <w:tc>
          <w:tcPr>
            <w:tcW w:w="1124"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四川科伦药业股份有限公司</w:t>
            </w:r>
          </w:p>
        </w:tc>
        <w:tc>
          <w:tcPr>
            <w:tcW w:w="1208"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国药准字</w:t>
            </w:r>
            <w:r w:rsidRPr="00882405">
              <w:rPr>
                <w:rFonts w:eastAsia="仿宋_GB2312"/>
                <w:kern w:val="0"/>
              </w:rPr>
              <w:t>H20080788</w:t>
            </w:r>
          </w:p>
        </w:tc>
        <w:tc>
          <w:tcPr>
            <w:tcW w:w="1282"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否</w:t>
            </w:r>
          </w:p>
        </w:tc>
      </w:tr>
      <w:tr w:rsidR="00B174D7" w:rsidRPr="00882405" w:rsidTr="009D692C">
        <w:trPr>
          <w:trHeight w:val="1280"/>
          <w:jc w:val="center"/>
        </w:trPr>
        <w:tc>
          <w:tcPr>
            <w:tcW w:w="835" w:type="dxa"/>
            <w:shd w:val="clear" w:color="auto" w:fill="auto"/>
            <w:vAlign w:val="center"/>
          </w:tcPr>
          <w:p w:rsidR="00B174D7" w:rsidRPr="00882405" w:rsidRDefault="00B174D7" w:rsidP="009D692C">
            <w:pPr>
              <w:jc w:val="center"/>
              <w:rPr>
                <w:rFonts w:eastAsia="仿宋_GB2312"/>
                <w:color w:val="000000"/>
                <w:szCs w:val="21"/>
              </w:rPr>
            </w:pPr>
            <w:r w:rsidRPr="00882405">
              <w:rPr>
                <w:rFonts w:eastAsia="仿宋_GB2312"/>
                <w:color w:val="000000"/>
                <w:szCs w:val="21"/>
              </w:rPr>
              <w:lastRenderedPageBreak/>
              <w:t>5</w:t>
            </w:r>
          </w:p>
        </w:tc>
        <w:tc>
          <w:tcPr>
            <w:tcW w:w="1554" w:type="dxa"/>
            <w:shd w:val="clear" w:color="auto" w:fill="auto"/>
            <w:vAlign w:val="center"/>
          </w:tcPr>
          <w:p w:rsidR="00B174D7" w:rsidRPr="00882405" w:rsidRDefault="00B174D7" w:rsidP="009D692C">
            <w:pPr>
              <w:jc w:val="center"/>
              <w:rPr>
                <w:rFonts w:eastAsia="仿宋_GB2312"/>
                <w:color w:val="000000"/>
                <w:szCs w:val="21"/>
              </w:rPr>
            </w:pPr>
            <w:r w:rsidRPr="00882405">
              <w:rPr>
                <w:rFonts w:eastAsia="仿宋_GB2312"/>
                <w:color w:val="000000"/>
                <w:szCs w:val="21"/>
              </w:rPr>
              <w:t>CYHB1750011</w:t>
            </w:r>
          </w:p>
        </w:tc>
        <w:tc>
          <w:tcPr>
            <w:tcW w:w="1166" w:type="dxa"/>
            <w:shd w:val="clear" w:color="auto" w:fill="auto"/>
            <w:vAlign w:val="center"/>
          </w:tcPr>
          <w:p w:rsidR="00B174D7" w:rsidRPr="00882405" w:rsidRDefault="00B174D7" w:rsidP="009D692C">
            <w:pPr>
              <w:jc w:val="center"/>
              <w:rPr>
                <w:rFonts w:eastAsia="仿宋_GB2312"/>
                <w:color w:val="000000"/>
                <w:szCs w:val="21"/>
              </w:rPr>
            </w:pPr>
            <w:r w:rsidRPr="00882405">
              <w:rPr>
                <w:rFonts w:eastAsia="仿宋_GB2312"/>
                <w:color w:val="000000"/>
                <w:szCs w:val="21"/>
              </w:rPr>
              <w:t>苯磺酸氨氯地平片</w:t>
            </w:r>
          </w:p>
        </w:tc>
        <w:tc>
          <w:tcPr>
            <w:tcW w:w="1525" w:type="dxa"/>
            <w:shd w:val="clear" w:color="auto" w:fill="auto"/>
            <w:vAlign w:val="center"/>
          </w:tcPr>
          <w:p w:rsidR="00B174D7" w:rsidRPr="00882405" w:rsidRDefault="00B174D7" w:rsidP="009D692C">
            <w:pPr>
              <w:widowControl/>
              <w:jc w:val="center"/>
              <w:rPr>
                <w:rFonts w:eastAsia="仿宋_GB2312"/>
                <w:kern w:val="0"/>
              </w:rPr>
            </w:pPr>
            <w:proofErr w:type="spellStart"/>
            <w:r w:rsidRPr="00882405">
              <w:rPr>
                <w:rFonts w:eastAsia="仿宋_GB2312"/>
                <w:kern w:val="0"/>
              </w:rPr>
              <w:t>Amlodipine</w:t>
            </w:r>
            <w:proofErr w:type="spellEnd"/>
            <w:r w:rsidRPr="00882405">
              <w:rPr>
                <w:rFonts w:eastAsia="仿宋_GB2312"/>
                <w:kern w:val="0"/>
              </w:rPr>
              <w:t xml:space="preserve"> </w:t>
            </w:r>
            <w:proofErr w:type="spellStart"/>
            <w:r w:rsidRPr="00882405">
              <w:rPr>
                <w:rFonts w:eastAsia="仿宋_GB2312"/>
                <w:kern w:val="0"/>
              </w:rPr>
              <w:t>Besylate</w:t>
            </w:r>
            <w:proofErr w:type="spellEnd"/>
            <w:r w:rsidRPr="00882405">
              <w:rPr>
                <w:rFonts w:eastAsia="仿宋_GB2312"/>
                <w:kern w:val="0"/>
              </w:rPr>
              <w:t xml:space="preserve"> Tablets</w:t>
            </w:r>
          </w:p>
        </w:tc>
        <w:tc>
          <w:tcPr>
            <w:tcW w:w="1168"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5mg</w:t>
            </w:r>
          </w:p>
        </w:tc>
        <w:tc>
          <w:tcPr>
            <w:tcW w:w="709"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片剂</w:t>
            </w:r>
          </w:p>
        </w:tc>
        <w:tc>
          <w:tcPr>
            <w:tcW w:w="3974" w:type="dxa"/>
            <w:shd w:val="clear" w:color="auto" w:fill="auto"/>
            <w:vAlign w:val="center"/>
          </w:tcPr>
          <w:p w:rsidR="00B174D7" w:rsidRDefault="00B174D7" w:rsidP="009D692C">
            <w:pPr>
              <w:widowControl/>
              <w:rPr>
                <w:rFonts w:eastAsia="仿宋_GB2312"/>
                <w:b/>
                <w:kern w:val="0"/>
              </w:rPr>
            </w:pPr>
          </w:p>
          <w:p w:rsidR="00B174D7" w:rsidRDefault="00B174D7" w:rsidP="009D692C">
            <w:pPr>
              <w:widowControl/>
              <w:spacing w:line="120" w:lineRule="exact"/>
              <w:rPr>
                <w:rFonts w:eastAsia="仿宋_GB2312"/>
                <w:b/>
                <w:kern w:val="0"/>
              </w:rPr>
            </w:pPr>
          </w:p>
          <w:p w:rsidR="00B174D7" w:rsidRPr="00882405" w:rsidRDefault="00B174D7" w:rsidP="009D692C">
            <w:pPr>
              <w:widowControl/>
              <w:rPr>
                <w:rFonts w:eastAsia="仿宋_GB2312"/>
                <w:b/>
                <w:kern w:val="0"/>
              </w:rPr>
            </w:pPr>
            <w:r w:rsidRPr="006E0884">
              <w:rPr>
                <w:rFonts w:eastAsia="仿宋_GB2312"/>
                <w:b/>
                <w:kern w:val="0"/>
              </w:rPr>
              <w:t xml:space="preserve">1. </w:t>
            </w:r>
            <w:r w:rsidRPr="00BC5564">
              <w:rPr>
                <w:rFonts w:eastAsia="仿宋_GB2312"/>
                <w:b/>
                <w:kern w:val="0"/>
              </w:rPr>
              <w:t>高血压</w:t>
            </w:r>
          </w:p>
          <w:p w:rsidR="00B174D7" w:rsidRPr="00882405" w:rsidRDefault="00B174D7" w:rsidP="009D692C">
            <w:pPr>
              <w:widowControl/>
              <w:ind w:firstLineChars="200" w:firstLine="420"/>
              <w:rPr>
                <w:rFonts w:eastAsia="仿宋_GB2312"/>
                <w:kern w:val="0"/>
              </w:rPr>
            </w:pPr>
            <w:r w:rsidRPr="00882405">
              <w:rPr>
                <w:rFonts w:eastAsia="仿宋_GB2312"/>
                <w:kern w:val="0"/>
              </w:rPr>
              <w:t>本品适用于高血压的治疗。本品可单独应用或与其他抗高血压药物联合应用。</w:t>
            </w:r>
          </w:p>
          <w:p w:rsidR="00B174D7" w:rsidRPr="00882405" w:rsidRDefault="00B174D7" w:rsidP="009D692C">
            <w:pPr>
              <w:widowControl/>
              <w:ind w:firstLineChars="200" w:firstLine="420"/>
              <w:rPr>
                <w:rFonts w:eastAsia="仿宋_GB2312"/>
                <w:kern w:val="0"/>
              </w:rPr>
            </w:pPr>
            <w:r w:rsidRPr="00882405">
              <w:rPr>
                <w:rFonts w:eastAsia="仿宋_GB2312"/>
                <w:kern w:val="0"/>
              </w:rPr>
              <w:t>高血压的控制是心血管风险综合管理的一部分，综合管理措施可能需要包括：血脂控制、糖尿病管理、抗血栓治疗、戒烟、体育锻炼和限制钠盐摄入。</w:t>
            </w:r>
          </w:p>
          <w:p w:rsidR="00B174D7" w:rsidRPr="00882405" w:rsidRDefault="00B174D7" w:rsidP="009D692C">
            <w:pPr>
              <w:widowControl/>
              <w:ind w:firstLineChars="200" w:firstLine="420"/>
              <w:rPr>
                <w:rFonts w:eastAsia="仿宋_GB2312"/>
                <w:kern w:val="0"/>
              </w:rPr>
            </w:pPr>
            <w:r w:rsidRPr="00882405">
              <w:rPr>
                <w:rFonts w:eastAsia="仿宋_GB2312"/>
                <w:kern w:val="0"/>
              </w:rPr>
              <w:t>收缩压或舒张压的升高均增高心血管风险。在更高的基础血压水平上，每毫米汞柱血压的升高所带来的绝对风险增加会更高。降低血压获得风险降低的相对程度在有不同心血管绝对风险的人群中是相似的。严重高血压患者，略微降低血压就能带来较大的临床获益。</w:t>
            </w:r>
          </w:p>
          <w:p w:rsidR="00B174D7" w:rsidRPr="00882405" w:rsidRDefault="00B174D7" w:rsidP="009D692C">
            <w:pPr>
              <w:widowControl/>
              <w:ind w:firstLineChars="200" w:firstLine="420"/>
              <w:rPr>
                <w:rFonts w:eastAsia="仿宋_GB2312"/>
                <w:kern w:val="0"/>
              </w:rPr>
            </w:pPr>
            <w:r w:rsidRPr="00882405">
              <w:rPr>
                <w:rFonts w:eastAsia="仿宋_GB2312"/>
                <w:kern w:val="0"/>
              </w:rPr>
              <w:t>对成人高血压患者，通常而言，降低血压可降低心血管事件的风险，主要是卒中</w:t>
            </w:r>
            <w:r w:rsidRPr="00882405">
              <w:rPr>
                <w:rFonts w:eastAsia="仿宋_GB2312"/>
                <w:color w:val="000000"/>
                <w:kern w:val="0"/>
              </w:rPr>
              <w:t>、</w:t>
            </w:r>
            <w:r w:rsidRPr="00882405">
              <w:rPr>
                <w:rFonts w:eastAsia="仿宋_GB2312"/>
                <w:kern w:val="0"/>
              </w:rPr>
              <w:t>以及心肌梗死的风险。</w:t>
            </w:r>
          </w:p>
          <w:p w:rsidR="00B174D7" w:rsidRPr="00882405" w:rsidRDefault="00B174D7" w:rsidP="009D692C">
            <w:pPr>
              <w:widowControl/>
              <w:rPr>
                <w:rFonts w:eastAsia="仿宋_GB2312"/>
                <w:b/>
                <w:kern w:val="0"/>
              </w:rPr>
            </w:pPr>
            <w:r w:rsidRPr="00882405">
              <w:rPr>
                <w:rFonts w:eastAsia="仿宋_GB2312"/>
                <w:b/>
                <w:kern w:val="0"/>
              </w:rPr>
              <w:t xml:space="preserve">2. </w:t>
            </w:r>
            <w:r w:rsidRPr="00882405">
              <w:rPr>
                <w:rFonts w:eastAsia="仿宋_GB2312"/>
                <w:b/>
                <w:kern w:val="0"/>
              </w:rPr>
              <w:t>冠心病（</w:t>
            </w:r>
            <w:r w:rsidRPr="00882405">
              <w:rPr>
                <w:rFonts w:eastAsia="仿宋_GB2312"/>
                <w:b/>
                <w:kern w:val="0"/>
              </w:rPr>
              <w:t>CAD</w:t>
            </w:r>
            <w:r w:rsidRPr="00882405">
              <w:rPr>
                <w:rFonts w:eastAsia="仿宋_GB2312"/>
                <w:b/>
                <w:kern w:val="0"/>
              </w:rPr>
              <w:t>）</w:t>
            </w:r>
          </w:p>
          <w:p w:rsidR="00B174D7" w:rsidRPr="00882405" w:rsidRDefault="00B174D7" w:rsidP="009D692C">
            <w:pPr>
              <w:widowControl/>
              <w:ind w:firstLineChars="200" w:firstLine="420"/>
              <w:rPr>
                <w:rFonts w:eastAsia="仿宋_GB2312"/>
                <w:kern w:val="0"/>
              </w:rPr>
            </w:pPr>
            <w:r w:rsidRPr="00882405">
              <w:rPr>
                <w:rFonts w:eastAsia="仿宋_GB2312"/>
                <w:kern w:val="0"/>
              </w:rPr>
              <w:t>慢性稳定性心绞痛</w:t>
            </w:r>
          </w:p>
          <w:p w:rsidR="00B174D7" w:rsidRPr="00882405" w:rsidRDefault="00B174D7" w:rsidP="009D692C">
            <w:pPr>
              <w:widowControl/>
              <w:ind w:firstLineChars="200" w:firstLine="420"/>
              <w:rPr>
                <w:rFonts w:eastAsia="仿宋_GB2312"/>
                <w:kern w:val="0"/>
              </w:rPr>
            </w:pPr>
            <w:r w:rsidRPr="00882405">
              <w:rPr>
                <w:rFonts w:eastAsia="仿宋_GB2312"/>
                <w:kern w:val="0"/>
              </w:rPr>
              <w:t>本品适用于慢性稳定性心绞痛的对症治疗。本品可单独应用也可</w:t>
            </w:r>
            <w:r w:rsidRPr="00882405">
              <w:rPr>
                <w:rFonts w:eastAsia="仿宋_GB2312"/>
                <w:color w:val="000000"/>
                <w:kern w:val="0"/>
              </w:rPr>
              <w:t>与其他</w:t>
            </w:r>
            <w:r w:rsidRPr="00882405">
              <w:rPr>
                <w:rFonts w:eastAsia="仿宋_GB2312"/>
                <w:kern w:val="0"/>
              </w:rPr>
              <w:t>抗心绞痛药物联合应用。</w:t>
            </w:r>
          </w:p>
          <w:p w:rsidR="00B174D7" w:rsidRDefault="00B174D7" w:rsidP="009D692C">
            <w:pPr>
              <w:widowControl/>
              <w:ind w:firstLineChars="200" w:firstLine="420"/>
              <w:rPr>
                <w:rFonts w:eastAsia="仿宋_GB2312"/>
                <w:kern w:val="0"/>
              </w:rPr>
            </w:pPr>
            <w:r w:rsidRPr="00882405">
              <w:rPr>
                <w:rFonts w:eastAsia="仿宋_GB2312"/>
                <w:kern w:val="0"/>
              </w:rPr>
              <w:t>血管痉挛性心绞痛（</w:t>
            </w:r>
            <w:proofErr w:type="spellStart"/>
            <w:r w:rsidRPr="00882405">
              <w:rPr>
                <w:rFonts w:eastAsia="仿宋_GB2312"/>
                <w:kern w:val="0"/>
              </w:rPr>
              <w:t>Prinzmetal’s</w:t>
            </w:r>
            <w:proofErr w:type="spellEnd"/>
            <w:r w:rsidRPr="00882405">
              <w:rPr>
                <w:rFonts w:eastAsia="仿宋_GB2312"/>
                <w:kern w:val="0"/>
              </w:rPr>
              <w:t>或变异型心绞痛）</w:t>
            </w:r>
          </w:p>
          <w:p w:rsidR="00B174D7" w:rsidRPr="006E0884" w:rsidRDefault="00B174D7" w:rsidP="009D692C">
            <w:pPr>
              <w:widowControl/>
              <w:ind w:firstLineChars="200" w:firstLine="420"/>
              <w:rPr>
                <w:rFonts w:eastAsia="仿宋_GB2312"/>
                <w:kern w:val="0"/>
              </w:rPr>
            </w:pPr>
          </w:p>
          <w:p w:rsidR="00B174D7" w:rsidRPr="00882405" w:rsidRDefault="00B174D7" w:rsidP="009D692C">
            <w:pPr>
              <w:widowControl/>
              <w:ind w:firstLineChars="200" w:firstLine="420"/>
              <w:rPr>
                <w:rFonts w:eastAsia="仿宋_GB2312"/>
                <w:kern w:val="0"/>
              </w:rPr>
            </w:pPr>
          </w:p>
        </w:tc>
        <w:tc>
          <w:tcPr>
            <w:tcW w:w="1124"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江苏黄河药业股份有限公司</w:t>
            </w:r>
          </w:p>
        </w:tc>
        <w:tc>
          <w:tcPr>
            <w:tcW w:w="1208"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国药准字</w:t>
            </w:r>
            <w:r w:rsidRPr="00882405">
              <w:rPr>
                <w:rFonts w:eastAsia="仿宋_GB2312"/>
                <w:kern w:val="0"/>
              </w:rPr>
              <w:t>H20083618</w:t>
            </w:r>
          </w:p>
        </w:tc>
        <w:tc>
          <w:tcPr>
            <w:tcW w:w="1282" w:type="dxa"/>
            <w:shd w:val="clear" w:color="auto" w:fill="auto"/>
            <w:vAlign w:val="center"/>
          </w:tcPr>
          <w:p w:rsidR="00B174D7" w:rsidRPr="00882405" w:rsidRDefault="00B174D7" w:rsidP="009D692C">
            <w:pPr>
              <w:widowControl/>
              <w:jc w:val="center"/>
              <w:rPr>
                <w:rFonts w:eastAsia="仿宋_GB2312"/>
                <w:kern w:val="0"/>
              </w:rPr>
            </w:pPr>
            <w:r w:rsidRPr="00882405">
              <w:rPr>
                <w:rFonts w:eastAsia="仿宋_GB2312"/>
                <w:kern w:val="0"/>
              </w:rPr>
              <w:t>是</w:t>
            </w:r>
          </w:p>
        </w:tc>
      </w:tr>
      <w:tr w:rsidR="00B174D7" w:rsidRPr="00882405" w:rsidTr="009D692C">
        <w:trPr>
          <w:trHeight w:val="3517"/>
          <w:jc w:val="center"/>
        </w:trPr>
        <w:tc>
          <w:tcPr>
            <w:tcW w:w="835" w:type="dxa"/>
            <w:shd w:val="clear" w:color="auto" w:fill="auto"/>
            <w:vAlign w:val="center"/>
          </w:tcPr>
          <w:p w:rsidR="00B174D7" w:rsidRPr="006E0884" w:rsidRDefault="00B174D7" w:rsidP="009D692C">
            <w:pPr>
              <w:jc w:val="center"/>
              <w:rPr>
                <w:rFonts w:eastAsia="仿宋_GB2312"/>
                <w:color w:val="000000"/>
                <w:szCs w:val="21"/>
              </w:rPr>
            </w:pPr>
            <w:r>
              <w:rPr>
                <w:rFonts w:eastAsia="仿宋_GB2312" w:hint="eastAsia"/>
                <w:color w:val="000000"/>
                <w:szCs w:val="21"/>
              </w:rPr>
              <w:lastRenderedPageBreak/>
              <w:t>5</w:t>
            </w:r>
          </w:p>
        </w:tc>
        <w:tc>
          <w:tcPr>
            <w:tcW w:w="1554" w:type="dxa"/>
            <w:shd w:val="clear" w:color="auto" w:fill="auto"/>
            <w:vAlign w:val="center"/>
          </w:tcPr>
          <w:p w:rsidR="00B174D7" w:rsidRPr="006E0884" w:rsidRDefault="00B174D7" w:rsidP="009D692C">
            <w:pPr>
              <w:jc w:val="center"/>
              <w:rPr>
                <w:rFonts w:eastAsia="仿宋_GB2312"/>
                <w:color w:val="000000"/>
                <w:szCs w:val="21"/>
              </w:rPr>
            </w:pPr>
            <w:r w:rsidRPr="003A2801">
              <w:rPr>
                <w:rFonts w:eastAsia="仿宋_GB2312"/>
                <w:color w:val="000000"/>
                <w:szCs w:val="21"/>
              </w:rPr>
              <w:t>CYHB1750011</w:t>
            </w:r>
          </w:p>
        </w:tc>
        <w:tc>
          <w:tcPr>
            <w:tcW w:w="1166" w:type="dxa"/>
            <w:shd w:val="clear" w:color="auto" w:fill="auto"/>
            <w:vAlign w:val="center"/>
          </w:tcPr>
          <w:p w:rsidR="00B174D7" w:rsidRPr="006E0884" w:rsidRDefault="00B174D7" w:rsidP="009D692C">
            <w:pPr>
              <w:jc w:val="center"/>
              <w:rPr>
                <w:rFonts w:eastAsia="仿宋_GB2312"/>
                <w:color w:val="000000"/>
                <w:szCs w:val="21"/>
              </w:rPr>
            </w:pPr>
            <w:r w:rsidRPr="003A2801">
              <w:rPr>
                <w:rFonts w:eastAsia="仿宋_GB2312"/>
                <w:color w:val="000000"/>
                <w:szCs w:val="21"/>
              </w:rPr>
              <w:t>苯磺酸氨氯地平片</w:t>
            </w:r>
          </w:p>
        </w:tc>
        <w:tc>
          <w:tcPr>
            <w:tcW w:w="1525" w:type="dxa"/>
            <w:shd w:val="clear" w:color="auto" w:fill="auto"/>
            <w:vAlign w:val="center"/>
          </w:tcPr>
          <w:p w:rsidR="00B174D7" w:rsidRPr="006E0884" w:rsidRDefault="00B174D7" w:rsidP="009D692C">
            <w:pPr>
              <w:widowControl/>
              <w:jc w:val="center"/>
              <w:rPr>
                <w:rFonts w:eastAsia="仿宋_GB2312"/>
                <w:kern w:val="0"/>
              </w:rPr>
            </w:pPr>
            <w:proofErr w:type="spellStart"/>
            <w:r w:rsidRPr="003A2801">
              <w:rPr>
                <w:rFonts w:eastAsia="仿宋_GB2312"/>
                <w:kern w:val="0"/>
              </w:rPr>
              <w:t>Amlodipine</w:t>
            </w:r>
            <w:proofErr w:type="spellEnd"/>
            <w:r w:rsidRPr="003A2801">
              <w:rPr>
                <w:rFonts w:eastAsia="仿宋_GB2312"/>
                <w:kern w:val="0"/>
              </w:rPr>
              <w:t xml:space="preserve"> </w:t>
            </w:r>
            <w:proofErr w:type="spellStart"/>
            <w:r w:rsidRPr="003A2801">
              <w:rPr>
                <w:rFonts w:eastAsia="仿宋_GB2312"/>
                <w:kern w:val="0"/>
              </w:rPr>
              <w:t>Besylate</w:t>
            </w:r>
            <w:proofErr w:type="spellEnd"/>
            <w:r w:rsidRPr="003A2801">
              <w:rPr>
                <w:rFonts w:eastAsia="仿宋_GB2312"/>
                <w:kern w:val="0"/>
              </w:rPr>
              <w:t xml:space="preserve"> Tablets</w:t>
            </w:r>
          </w:p>
        </w:tc>
        <w:tc>
          <w:tcPr>
            <w:tcW w:w="1168" w:type="dxa"/>
            <w:shd w:val="clear" w:color="auto" w:fill="auto"/>
            <w:vAlign w:val="center"/>
          </w:tcPr>
          <w:p w:rsidR="00B174D7" w:rsidRPr="006E0884" w:rsidRDefault="00B174D7" w:rsidP="009D692C">
            <w:pPr>
              <w:widowControl/>
              <w:jc w:val="center"/>
              <w:rPr>
                <w:rFonts w:eastAsia="仿宋_GB2312"/>
                <w:kern w:val="0"/>
              </w:rPr>
            </w:pPr>
            <w:r w:rsidRPr="003A2801">
              <w:rPr>
                <w:rFonts w:eastAsia="仿宋_GB2312"/>
                <w:kern w:val="0"/>
              </w:rPr>
              <w:t>5mg</w:t>
            </w:r>
          </w:p>
        </w:tc>
        <w:tc>
          <w:tcPr>
            <w:tcW w:w="709" w:type="dxa"/>
            <w:shd w:val="clear" w:color="auto" w:fill="auto"/>
            <w:vAlign w:val="center"/>
          </w:tcPr>
          <w:p w:rsidR="00B174D7" w:rsidRPr="006E0884" w:rsidRDefault="00B174D7" w:rsidP="009D692C">
            <w:pPr>
              <w:widowControl/>
              <w:jc w:val="center"/>
              <w:rPr>
                <w:rFonts w:eastAsia="仿宋_GB2312"/>
                <w:kern w:val="0"/>
              </w:rPr>
            </w:pPr>
            <w:r w:rsidRPr="003A2801">
              <w:rPr>
                <w:rFonts w:eastAsia="仿宋_GB2312"/>
                <w:kern w:val="0"/>
              </w:rPr>
              <w:t>片剂</w:t>
            </w:r>
          </w:p>
        </w:tc>
        <w:tc>
          <w:tcPr>
            <w:tcW w:w="3974" w:type="dxa"/>
            <w:shd w:val="clear" w:color="auto" w:fill="auto"/>
            <w:vAlign w:val="center"/>
          </w:tcPr>
          <w:p w:rsidR="00B174D7" w:rsidRPr="003A2801" w:rsidRDefault="00B174D7" w:rsidP="009D692C">
            <w:pPr>
              <w:widowControl/>
              <w:ind w:firstLineChars="200" w:firstLine="420"/>
              <w:rPr>
                <w:rFonts w:eastAsia="仿宋_GB2312"/>
                <w:kern w:val="0"/>
              </w:rPr>
            </w:pPr>
            <w:r w:rsidRPr="003A2801">
              <w:rPr>
                <w:rFonts w:eastAsia="仿宋_GB2312"/>
                <w:kern w:val="0"/>
              </w:rPr>
              <w:t>本品适用于确诊或可疑的血管痉挛性心绞痛的治疗。本品可单独应用也可</w:t>
            </w:r>
            <w:r w:rsidRPr="003A2801">
              <w:rPr>
                <w:rFonts w:eastAsia="仿宋_GB2312"/>
                <w:color w:val="000000"/>
                <w:kern w:val="0"/>
              </w:rPr>
              <w:t>与其他</w:t>
            </w:r>
            <w:r w:rsidRPr="003A2801">
              <w:rPr>
                <w:rFonts w:eastAsia="仿宋_GB2312"/>
                <w:kern w:val="0"/>
              </w:rPr>
              <w:t>抗心绞痛药物联合应用。</w:t>
            </w:r>
          </w:p>
          <w:p w:rsidR="00B174D7" w:rsidRPr="003A2801" w:rsidRDefault="00B174D7" w:rsidP="009D692C">
            <w:pPr>
              <w:widowControl/>
              <w:ind w:firstLineChars="200" w:firstLine="420"/>
              <w:rPr>
                <w:rFonts w:eastAsia="仿宋_GB2312"/>
                <w:kern w:val="0"/>
              </w:rPr>
            </w:pPr>
            <w:r w:rsidRPr="003A2801">
              <w:rPr>
                <w:rFonts w:eastAsia="仿宋_GB2312"/>
                <w:kern w:val="0"/>
              </w:rPr>
              <w:t>经血管造影证实的冠心病</w:t>
            </w:r>
          </w:p>
          <w:p w:rsidR="00B174D7" w:rsidRPr="006E0884" w:rsidRDefault="00B174D7" w:rsidP="009D692C">
            <w:pPr>
              <w:widowControl/>
              <w:ind w:firstLineChars="200" w:firstLine="420"/>
              <w:rPr>
                <w:rFonts w:eastAsia="仿宋_GB2312"/>
                <w:b/>
                <w:kern w:val="0"/>
              </w:rPr>
            </w:pPr>
            <w:r w:rsidRPr="003A2801">
              <w:rPr>
                <w:rFonts w:eastAsia="仿宋_GB2312"/>
                <w:kern w:val="0"/>
              </w:rPr>
              <w:t>经血管造影证实为冠心病，但射血分数</w:t>
            </w:r>
            <w:r w:rsidRPr="00882405">
              <w:rPr>
                <w:rFonts w:ascii="仿宋_GB2312" w:eastAsia="仿宋_GB2312" w:hint="eastAsia"/>
                <w:kern w:val="0"/>
              </w:rPr>
              <w:t>≥</w:t>
            </w:r>
            <w:r w:rsidRPr="003A2801">
              <w:rPr>
                <w:rFonts w:eastAsia="仿宋_GB2312"/>
                <w:kern w:val="0"/>
              </w:rPr>
              <w:t>40%</w:t>
            </w:r>
            <w:r w:rsidRPr="003A2801">
              <w:rPr>
                <w:rFonts w:eastAsia="仿宋_GB2312"/>
                <w:kern w:val="0"/>
              </w:rPr>
              <w:t>且无心力衰竭的患者，本品可减少因心绞痛住院的风险以及降低冠状动脉重建术的风险。</w:t>
            </w:r>
          </w:p>
        </w:tc>
        <w:tc>
          <w:tcPr>
            <w:tcW w:w="1124" w:type="dxa"/>
            <w:shd w:val="clear" w:color="auto" w:fill="auto"/>
            <w:vAlign w:val="center"/>
          </w:tcPr>
          <w:p w:rsidR="00B174D7" w:rsidRPr="006E0884" w:rsidRDefault="00B174D7" w:rsidP="009D692C">
            <w:pPr>
              <w:widowControl/>
              <w:jc w:val="center"/>
              <w:rPr>
                <w:rFonts w:eastAsia="仿宋_GB2312"/>
                <w:kern w:val="0"/>
              </w:rPr>
            </w:pPr>
            <w:r w:rsidRPr="003A2801">
              <w:rPr>
                <w:rFonts w:eastAsia="仿宋_GB2312"/>
                <w:kern w:val="0"/>
              </w:rPr>
              <w:t>江苏黄河药业股份有限公司</w:t>
            </w:r>
          </w:p>
        </w:tc>
        <w:tc>
          <w:tcPr>
            <w:tcW w:w="1208" w:type="dxa"/>
            <w:shd w:val="clear" w:color="auto" w:fill="auto"/>
            <w:vAlign w:val="center"/>
          </w:tcPr>
          <w:p w:rsidR="00B174D7" w:rsidRPr="006E0884" w:rsidRDefault="00B174D7" w:rsidP="009D692C">
            <w:pPr>
              <w:widowControl/>
              <w:jc w:val="center"/>
              <w:rPr>
                <w:rFonts w:eastAsia="仿宋_GB2312"/>
                <w:kern w:val="0"/>
              </w:rPr>
            </w:pPr>
            <w:r w:rsidRPr="003A2801">
              <w:rPr>
                <w:rFonts w:eastAsia="仿宋_GB2312"/>
                <w:kern w:val="0"/>
              </w:rPr>
              <w:t>国药准字</w:t>
            </w:r>
            <w:r w:rsidRPr="003A2801">
              <w:rPr>
                <w:rFonts w:eastAsia="仿宋_GB2312"/>
                <w:kern w:val="0"/>
              </w:rPr>
              <w:t>H20083618</w:t>
            </w:r>
          </w:p>
        </w:tc>
        <w:tc>
          <w:tcPr>
            <w:tcW w:w="1282" w:type="dxa"/>
            <w:shd w:val="clear" w:color="auto" w:fill="auto"/>
            <w:vAlign w:val="center"/>
          </w:tcPr>
          <w:p w:rsidR="00B174D7" w:rsidRPr="006E0884" w:rsidRDefault="00B174D7" w:rsidP="009D692C">
            <w:pPr>
              <w:widowControl/>
              <w:jc w:val="center"/>
              <w:rPr>
                <w:rFonts w:eastAsia="仿宋_GB2312"/>
                <w:kern w:val="0"/>
              </w:rPr>
            </w:pPr>
            <w:r w:rsidRPr="003A2801">
              <w:rPr>
                <w:rFonts w:eastAsia="仿宋_GB2312"/>
                <w:kern w:val="0"/>
              </w:rPr>
              <w:t>是</w:t>
            </w:r>
          </w:p>
        </w:tc>
      </w:tr>
    </w:tbl>
    <w:p w:rsidR="00B174D7" w:rsidRPr="00E66424" w:rsidRDefault="00B174D7" w:rsidP="00B174D7">
      <w:pPr>
        <w:widowControl/>
        <w:jc w:val="center"/>
        <w:rPr>
          <w:rFonts w:eastAsia="仿宋_GB2312"/>
          <w:kern w:val="0"/>
        </w:rPr>
      </w:pPr>
    </w:p>
    <w:p w:rsidR="00B174D7" w:rsidRPr="00E66424" w:rsidRDefault="00B174D7" w:rsidP="00B174D7">
      <w:pPr>
        <w:widowControl/>
        <w:ind w:firstLineChars="200" w:firstLine="420"/>
        <w:jc w:val="left"/>
        <w:rPr>
          <w:rFonts w:eastAsia="仿宋_GB2312"/>
          <w:kern w:val="0"/>
        </w:rPr>
      </w:pPr>
      <w:r w:rsidRPr="00E66424">
        <w:rPr>
          <w:rFonts w:eastAsia="仿宋_GB2312"/>
          <w:kern w:val="0"/>
        </w:rPr>
        <w:t>注：</w:t>
      </w:r>
      <w:r w:rsidRPr="00E66424">
        <w:rPr>
          <w:rFonts w:eastAsia="仿宋_GB2312"/>
          <w:kern w:val="0"/>
        </w:rPr>
        <w:t>* 289</w:t>
      </w:r>
      <w:r w:rsidRPr="00E66424">
        <w:rPr>
          <w:rFonts w:eastAsia="仿宋_GB2312"/>
          <w:color w:val="000000"/>
          <w:kern w:val="0"/>
        </w:rPr>
        <w:t>基药</w:t>
      </w:r>
      <w:r w:rsidRPr="00E66424">
        <w:rPr>
          <w:rFonts w:eastAsia="仿宋_GB2312"/>
          <w:kern w:val="0"/>
        </w:rPr>
        <w:t>目录：是指根据《关于落实〈国务院办公厅关于开展仿制药质量和疗效一致性评价的意见〉有关事项的公告》（国家食品药品监督管理总局公告</w:t>
      </w:r>
      <w:r w:rsidRPr="00E66424">
        <w:rPr>
          <w:rFonts w:eastAsia="仿宋_GB2312"/>
          <w:kern w:val="0"/>
        </w:rPr>
        <w:t>2016</w:t>
      </w:r>
      <w:r w:rsidRPr="00E66424">
        <w:rPr>
          <w:rFonts w:eastAsia="仿宋_GB2312"/>
          <w:kern w:val="0"/>
        </w:rPr>
        <w:t>年第</w:t>
      </w:r>
      <w:r w:rsidRPr="00E66424">
        <w:rPr>
          <w:rFonts w:eastAsia="仿宋_GB2312"/>
          <w:kern w:val="0"/>
        </w:rPr>
        <w:t>106</w:t>
      </w:r>
      <w:r w:rsidRPr="00E66424">
        <w:rPr>
          <w:rFonts w:eastAsia="仿宋_GB2312"/>
          <w:kern w:val="0"/>
        </w:rPr>
        <w:t>号）附件所附</w:t>
      </w:r>
      <w:r w:rsidRPr="00E66424">
        <w:rPr>
          <w:rFonts w:eastAsia="仿宋_GB2312"/>
          <w:kern w:val="0"/>
        </w:rPr>
        <w:t>2018</w:t>
      </w:r>
      <w:r w:rsidRPr="00E66424">
        <w:rPr>
          <w:rFonts w:eastAsia="仿宋_GB2312"/>
          <w:kern w:val="0"/>
        </w:rPr>
        <w:t>年底前须完成仿制药一致性评价品种目录。</w:t>
      </w:r>
    </w:p>
    <w:p w:rsidR="00B174D7" w:rsidRPr="00E66424" w:rsidRDefault="00B174D7" w:rsidP="00B174D7">
      <w:pPr>
        <w:sectPr w:rsidR="00B174D7" w:rsidRPr="00E66424" w:rsidSect="00882405">
          <w:footerReference w:type="even" r:id="rId6"/>
          <w:footerReference w:type="default" r:id="rId7"/>
          <w:pgSz w:w="16838" w:h="11906" w:orient="landscape"/>
          <w:pgMar w:top="1928" w:right="1531" w:bottom="1814" w:left="1531" w:header="851" w:footer="992" w:gutter="0"/>
          <w:cols w:space="425"/>
          <w:docGrid w:linePitch="312"/>
        </w:sectPr>
      </w:pPr>
    </w:p>
    <w:p w:rsidR="007A4D74" w:rsidRPr="00B174D7" w:rsidRDefault="007A4D74">
      <w:bookmarkStart w:id="0" w:name="_GoBack"/>
      <w:bookmarkEnd w:id="0"/>
    </w:p>
    <w:sectPr w:rsidR="007A4D74" w:rsidRPr="00B174D7" w:rsidSect="00433CE7">
      <w:pgSz w:w="16838" w:h="11906" w:orient="landscape"/>
      <w:pgMar w:top="1531" w:right="1928" w:bottom="1531" w:left="1814" w:header="851" w:footer="1134"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2DA" w:rsidRDefault="006A52DA" w:rsidP="00B174D7">
      <w:r>
        <w:separator/>
      </w:r>
    </w:p>
  </w:endnote>
  <w:endnote w:type="continuationSeparator" w:id="0">
    <w:p w:rsidR="006A52DA" w:rsidRDefault="006A52DA" w:rsidP="00B174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4D7" w:rsidRPr="00882405" w:rsidRDefault="00B174D7">
    <w:pPr>
      <w:pStyle w:val="a4"/>
      <w:rPr>
        <w:sz w:val="28"/>
        <w:szCs w:val="28"/>
      </w:rPr>
    </w:pPr>
    <w:r w:rsidRPr="00882405">
      <w:rPr>
        <w:rFonts w:hint="eastAsia"/>
        <w:color w:val="FFFFFF"/>
        <w:sz w:val="28"/>
        <w:szCs w:val="28"/>
      </w:rPr>
      <w:t>—</w:t>
    </w:r>
    <w:r w:rsidRPr="00882405">
      <w:rPr>
        <w:rFonts w:hint="eastAsia"/>
        <w:sz w:val="28"/>
        <w:szCs w:val="28"/>
      </w:rPr>
      <w:t>—</w:t>
    </w:r>
    <w:r w:rsidRPr="00882405">
      <w:rPr>
        <w:rFonts w:hint="eastAsia"/>
        <w:sz w:val="28"/>
        <w:szCs w:val="28"/>
      </w:rPr>
      <w:t xml:space="preserve"> </w:t>
    </w:r>
    <w:r w:rsidR="0003228F" w:rsidRPr="00882405">
      <w:rPr>
        <w:sz w:val="28"/>
        <w:szCs w:val="28"/>
      </w:rPr>
      <w:fldChar w:fldCharType="begin"/>
    </w:r>
    <w:r w:rsidRPr="00882405">
      <w:rPr>
        <w:sz w:val="28"/>
        <w:szCs w:val="28"/>
      </w:rPr>
      <w:instrText>PAGE   \* MERGEFORMAT</w:instrText>
    </w:r>
    <w:r w:rsidR="0003228F" w:rsidRPr="00882405">
      <w:rPr>
        <w:sz w:val="28"/>
        <w:szCs w:val="28"/>
      </w:rPr>
      <w:fldChar w:fldCharType="separate"/>
    </w:r>
    <w:r w:rsidRPr="00DD20A1">
      <w:rPr>
        <w:noProof/>
        <w:sz w:val="28"/>
        <w:szCs w:val="28"/>
        <w:lang w:val="zh-CN"/>
      </w:rPr>
      <w:t>2</w:t>
    </w:r>
    <w:r w:rsidR="0003228F" w:rsidRPr="00882405">
      <w:rPr>
        <w:sz w:val="28"/>
        <w:szCs w:val="28"/>
      </w:rPr>
      <w:fldChar w:fldCharType="end"/>
    </w:r>
    <w:r w:rsidRPr="00882405">
      <w:rPr>
        <w:rFonts w:hint="eastAsia"/>
        <w:sz w:val="28"/>
        <w:szCs w:val="28"/>
      </w:rPr>
      <w:t xml:space="preserve"> </w:t>
    </w:r>
    <w:r w:rsidRPr="00882405">
      <w:rPr>
        <w:rFonts w:hint="eastAsia"/>
        <w:sz w:val="28"/>
        <w:szCs w:val="28"/>
      </w:rPr>
      <w:t>—</w:t>
    </w:r>
  </w:p>
  <w:p w:rsidR="00B174D7" w:rsidRDefault="00B174D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4D7" w:rsidRPr="00882405" w:rsidRDefault="00B174D7" w:rsidP="00882405">
    <w:pPr>
      <w:pStyle w:val="a4"/>
      <w:wordWrap w:val="0"/>
      <w:jc w:val="right"/>
      <w:rPr>
        <w:sz w:val="28"/>
        <w:szCs w:val="28"/>
      </w:rPr>
    </w:pPr>
    <w:r w:rsidRPr="00882405">
      <w:rPr>
        <w:rFonts w:hint="eastAsia"/>
        <w:sz w:val="28"/>
        <w:szCs w:val="28"/>
      </w:rPr>
      <w:t>—</w:t>
    </w:r>
    <w:r w:rsidRPr="00882405">
      <w:rPr>
        <w:rFonts w:hint="eastAsia"/>
        <w:sz w:val="28"/>
        <w:szCs w:val="28"/>
      </w:rPr>
      <w:t xml:space="preserve"> </w:t>
    </w:r>
    <w:r w:rsidR="0003228F" w:rsidRPr="00882405">
      <w:rPr>
        <w:sz w:val="28"/>
        <w:szCs w:val="28"/>
      </w:rPr>
      <w:fldChar w:fldCharType="begin"/>
    </w:r>
    <w:r w:rsidRPr="00882405">
      <w:rPr>
        <w:sz w:val="28"/>
        <w:szCs w:val="28"/>
      </w:rPr>
      <w:instrText>PAGE   \* MERGEFORMAT</w:instrText>
    </w:r>
    <w:r w:rsidR="0003228F" w:rsidRPr="00882405">
      <w:rPr>
        <w:sz w:val="28"/>
        <w:szCs w:val="28"/>
      </w:rPr>
      <w:fldChar w:fldCharType="separate"/>
    </w:r>
    <w:r w:rsidR="00433CE7" w:rsidRPr="00433CE7">
      <w:rPr>
        <w:noProof/>
        <w:sz w:val="28"/>
        <w:szCs w:val="28"/>
        <w:lang w:val="zh-CN"/>
      </w:rPr>
      <w:t>1</w:t>
    </w:r>
    <w:r w:rsidR="0003228F" w:rsidRPr="00882405">
      <w:rPr>
        <w:sz w:val="28"/>
        <w:szCs w:val="28"/>
      </w:rPr>
      <w:fldChar w:fldCharType="end"/>
    </w:r>
    <w:r w:rsidRPr="00882405">
      <w:rPr>
        <w:rFonts w:hint="eastAsia"/>
        <w:sz w:val="28"/>
        <w:szCs w:val="28"/>
      </w:rPr>
      <w:t xml:space="preserve"> </w:t>
    </w:r>
    <w:r w:rsidRPr="00882405">
      <w:rPr>
        <w:rFonts w:hint="eastAsia"/>
        <w:sz w:val="28"/>
        <w:szCs w:val="28"/>
      </w:rPr>
      <w:t>—</w:t>
    </w:r>
    <w:r w:rsidRPr="00882405">
      <w:rPr>
        <w:rFonts w:hint="eastAsia"/>
        <w:color w:val="FFFFFF"/>
        <w:sz w:val="28"/>
        <w:szCs w:val="28"/>
      </w:rPr>
      <w:t>—</w:t>
    </w:r>
  </w:p>
  <w:p w:rsidR="00B174D7" w:rsidRDefault="00B174D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2DA" w:rsidRDefault="006A52DA" w:rsidP="00B174D7">
      <w:r>
        <w:separator/>
      </w:r>
    </w:p>
  </w:footnote>
  <w:footnote w:type="continuationSeparator" w:id="0">
    <w:p w:rsidR="006A52DA" w:rsidRDefault="006A52DA" w:rsidP="00B174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0CDD"/>
    <w:rsid w:val="0003228F"/>
    <w:rsid w:val="00433CE7"/>
    <w:rsid w:val="006A52DA"/>
    <w:rsid w:val="007A4D74"/>
    <w:rsid w:val="00B174D7"/>
    <w:rsid w:val="00F70C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4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4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74D7"/>
    <w:rPr>
      <w:sz w:val="18"/>
      <w:szCs w:val="18"/>
    </w:rPr>
  </w:style>
  <w:style w:type="paragraph" w:styleId="a4">
    <w:name w:val="footer"/>
    <w:basedOn w:val="a"/>
    <w:link w:val="Char0"/>
    <w:uiPriority w:val="99"/>
    <w:unhideWhenUsed/>
    <w:rsid w:val="00B174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74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4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4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74D7"/>
    <w:rPr>
      <w:sz w:val="18"/>
      <w:szCs w:val="18"/>
    </w:rPr>
  </w:style>
  <w:style w:type="paragraph" w:styleId="a4">
    <w:name w:val="footer"/>
    <w:basedOn w:val="a"/>
    <w:link w:val="Char0"/>
    <w:uiPriority w:val="99"/>
    <w:unhideWhenUsed/>
    <w:rsid w:val="00B174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74D7"/>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319</Words>
  <Characters>1820</Characters>
  <Application>Microsoft Office Word</Application>
  <DocSecurity>0</DocSecurity>
  <Lines>15</Lines>
  <Paragraphs>4</Paragraphs>
  <ScaleCrop>false</ScaleCrop>
  <Company>CFDA</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何宏艳</dc:creator>
  <cp:lastModifiedBy>USER</cp:lastModifiedBy>
  <cp:revision>2</cp:revision>
  <dcterms:created xsi:type="dcterms:W3CDTF">2018-02-14T00:55:00Z</dcterms:created>
  <dcterms:modified xsi:type="dcterms:W3CDTF">2018-02-14T00:55:00Z</dcterms:modified>
</cp:coreProperties>
</file>